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ALABAMA</w:t>
      </w:r>
    </w:p>
    <w:p>
      <w:pPr>
        <w:spacing w:after="120"/>
        <w:jc w:val="center"/>
      </w:pPr>
      <w:r>
        <w:rPr>
          <w:rFonts w:ascii="Calibri" w:cs="Calibri" w:eastAsia="Calibri" w:hAnsi="Calibri"/>
          <w:b/>
          <w:bCs/>
          <w:color w:val="2B2B2B"/>
          <w:sz w:val="36"/>
          <w:szCs w:val="36"/>
        </w:rPr>
        <w:t xml:space="preserve">New Home Construction Warranty Reference</w:t>
      </w:r>
    </w:p>
    <w:p>
      <w:pPr>
        <w:spacing w:after="720"/>
        <w:jc w:val="center"/>
      </w:pPr>
      <w:r>
        <w:rPr>
          <w:rFonts w:ascii="Calibri" w:cs="Calibri" w:eastAsia="Calibri" w:hAnsi="Calibri"/>
          <w:i/>
          <w:iCs/>
          <w:color w:val="555555"/>
          <w:sz w:val="24"/>
          <w:szCs w:val="24"/>
        </w:rPr>
        <w:t xml:space="preserve">Statutes, Case Law, Pre-Suit Procedure, and Complaint Channels</w:t>
      </w:r>
    </w:p>
    <w:p>
      <w:pPr>
        <w:spacing w:after="80"/>
        <w:jc w:val="center"/>
      </w:pPr>
      <w:r>
        <w:rPr>
          <w:rFonts w:ascii="Calibri" w:cs="Calibri" w:eastAsia="Calibri" w:hAnsi="Calibri"/>
          <w:color w:val="555555"/>
          <w:sz w:val="22"/>
          <w:szCs w:val="22"/>
        </w:rPr>
        <w:t xml:space="preserve">A general reference for homeowners, real-estate professionals, and counsel</w:t>
      </w:r>
    </w:p>
    <w:p>
      <w:pPr>
        <w:spacing w:after="1200"/>
        <w:jc w:val="center"/>
      </w:pPr>
      <w:r>
        <w:rPr>
          <w:rFonts w:ascii="Calibri" w:cs="Calibri" w:eastAsia="Calibri" w:hAnsi="Calibri"/>
          <w:i/>
          <w:iCs/>
          <w:color w:val="555555"/>
          <w:sz w:val="20"/>
          <w:szCs w:val="20"/>
        </w:rPr>
        <w:t xml:space="preserve">Not legal advice — verify all citations with a licensed Alabama attorney before relying on them.</w:t>
      </w:r>
    </w:p>
    <w:p>
      <w:pPr>
        <w:spacing w:after="80"/>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 Overview of Alabama's Framework</w:t>
      </w:r>
    </w:p>
    <w:p>
      <w:pPr>
        <w:spacing w:after="120" w:before="80" w:line="300"/>
        <w:jc w:val="left"/>
      </w:pPr>
      <w:r>
        <w:rPr>
          <w:rFonts w:ascii="Calibri" w:cs="Calibri" w:eastAsia="Calibri" w:hAnsi="Calibri"/>
          <w:b w:val="false"/>
          <w:bCs w:val="false"/>
          <w:i w:val="false"/>
          <w:iCs w:val="false"/>
          <w:color w:val="2B2B2B"/>
          <w:sz w:val="22"/>
          <w:szCs w:val="22"/>
        </w:rPr>
        <w:t xml:space="preserve">Alabama's protection for the buyer of a newly constructed home is built from four overlapping layers. None of them is a single, comprehensive statutory warranty like Minnesota's Chapter 327A or New Jersey's New Home Warranty Act. The homeowner's leverage depends on which layers apply to the facts of the case.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Common-law implied warranty of habitability </w:t>
      </w:r>
      <w:r>
        <w:rPr>
          <w:rFonts w:ascii="Calibri" w:cs="Calibri" w:eastAsia="Calibri" w:hAnsi="Calibri"/>
          <w:color w:val="2B2B2B"/>
          <w:sz w:val="22"/>
          <w:szCs w:val="22"/>
        </w:rPr>
        <w:t xml:space="preserve">— created by </w:t>
      </w:r>
      <w:r>
        <w:rPr>
          <w:rFonts w:ascii="Calibri" w:cs="Calibri" w:eastAsia="Calibri" w:hAnsi="Calibri"/>
          <w:b w:val="false"/>
          <w:bCs w:val="false"/>
          <w:i/>
          <w:iCs/>
          <w:color w:val="2B2B2B"/>
          <w:sz w:val="22"/>
          <w:szCs w:val="22"/>
        </w:rPr>
        <w:t xml:space="preserve">Cochran v. Keeton</w:t>
      </w:r>
      <w:r>
        <w:rPr>
          <w:rFonts w:ascii="Calibri" w:cs="Calibri" w:eastAsia="Calibri" w:hAnsi="Calibri"/>
          <w:color w:val="2B2B2B"/>
          <w:sz w:val="22"/>
          <w:szCs w:val="22"/>
        </w:rPr>
        <w:t xml:space="preserve"> and refined by </w:t>
      </w:r>
      <w:r>
        <w:rPr>
          <w:rFonts w:ascii="Calibri" w:cs="Calibri" w:eastAsia="Calibri" w:hAnsi="Calibri"/>
          <w:b w:val="false"/>
          <w:bCs w:val="false"/>
          <w:i/>
          <w:iCs/>
          <w:color w:val="2B2B2B"/>
          <w:sz w:val="22"/>
          <w:szCs w:val="22"/>
        </w:rPr>
        <w:t xml:space="preserve">Sims v. Lewis</w:t>
      </w:r>
      <w:r>
        <w:rPr>
          <w:rFonts w:ascii="Calibri" w:cs="Calibri" w:eastAsia="Calibri" w:hAnsi="Calibri"/>
          <w:color w:val="2B2B2B"/>
          <w:sz w:val="22"/>
          <w:szCs w:val="22"/>
        </w:rPr>
        <w:t xml:space="preserve">. Applies automatically to a first-time buyer of a newly built dwelling from the builder-vendor. Frequently disclaimed in modern builder contracts.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Express written limited warranty </w:t>
      </w:r>
      <w:r>
        <w:rPr>
          <w:rFonts w:ascii="Calibri" w:cs="Calibri" w:eastAsia="Calibri" w:hAnsi="Calibri"/>
          <w:color w:val="2B2B2B"/>
          <w:sz w:val="22"/>
          <w:szCs w:val="22"/>
        </w:rPr>
        <w:t xml:space="preserve">— the printed warranty book the builder hands the buyer at closing (RWC, 2-10 Home Buyers Warranty, Quality Builders Warranty Corporation, etc.). Enforceable as written under Ala. Code § 6-5-227, including beyond the seven-year statute of repose.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Negligence / fraud / fraudulent suppression </w:t>
      </w:r>
      <w:r>
        <w:rPr>
          <w:rFonts w:ascii="Calibri" w:cs="Calibri" w:eastAsia="Calibri" w:hAnsi="Calibri"/>
          <w:color w:val="2B2B2B"/>
          <w:sz w:val="22"/>
          <w:szCs w:val="22"/>
        </w:rPr>
        <w:t xml:space="preserve">— common-law tort claims with a two-year limitations period under Ala. Code § 6-5-221, capped by the seven-year statute of repose under § 6-5-218.</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Administrative remedies through the Home Builders Licensure Board </w:t>
      </w:r>
      <w:r>
        <w:rPr>
          <w:rFonts w:ascii="Calibri" w:cs="Calibri" w:eastAsia="Calibri" w:hAnsi="Calibri"/>
          <w:color w:val="2B2B2B"/>
          <w:sz w:val="22"/>
          <w:szCs w:val="22"/>
        </w:rPr>
        <w:t xml:space="preserve">— complaint procedure, disciplinary action against the license, and the Homeowners' Recovery Fund under Ala. Code § 34-14A-15.</w:t>
      </w:r>
    </w:p>
    <w:p>
      <w:pPr>
        <w:spacing w:after="80" w:before="160" w:line="300"/>
        <w:jc w:val="left"/>
      </w:pPr>
      <w:r>
        <w:rPr>
          <w:rFonts w:ascii="Calibri" w:cs="Calibri" w:eastAsia="Calibri" w:hAnsi="Calibri"/>
          <w:b w:val="false"/>
          <w:bCs w:val="false"/>
          <w:i w:val="false"/>
          <w:iCs w:val="false"/>
          <w:color w:val="2B2B2B"/>
          <w:sz w:val="22"/>
          <w:szCs w:val="22"/>
        </w:rPr>
        <w:t xml:space="preserve">Two structural features make Alabama different from most neighboring states:</w:t>
      </w:r>
    </w:p>
    <w:p>
      <w:pPr>
        <w:pStyle w:val="ListParagraph"/>
        <w:numPr>
          <w:ilvl w:val="0"/>
          <w:numId w:val="3"/>
        </w:numPr>
        <w:spacing w:after="60" w:before="60" w:line="280"/>
      </w:pPr>
      <w:r>
        <w:rPr>
          <w:rFonts w:ascii="Calibri" w:cs="Calibri" w:eastAsia="Calibri" w:hAnsi="Calibri"/>
          <w:color w:val="2B2B2B"/>
          <w:sz w:val="22"/>
          <w:szCs w:val="22"/>
        </w:rPr>
        <w:t xml:space="preserve">Alabama has no statutory "Notice and Opportunity to Repair" act. Many secondary sources incorrectly state otherwise. The closest analog is the HBLB administrative complaint procedure, which gives the licensee a 20-day informal-resolution window before formal investigation.</w:t>
      </w:r>
    </w:p>
    <w:p>
      <w:pPr>
        <w:pStyle w:val="ListParagraph"/>
        <w:numPr>
          <w:ilvl w:val="0"/>
          <w:numId w:val="3"/>
        </w:numPr>
        <w:spacing w:after="60" w:before="60" w:line="280"/>
      </w:pPr>
      <w:r>
        <w:rPr>
          <w:rFonts w:ascii="Calibri" w:cs="Calibri" w:eastAsia="Calibri" w:hAnsi="Calibri"/>
          <w:color w:val="2B2B2B"/>
          <w:sz w:val="22"/>
          <w:szCs w:val="22"/>
        </w:rPr>
        <w:t xml:space="preserve">Alabama has historically had no statewide residential building code. That changes on January 1, 2027, when Acts 2024 No. 24-443 requires residential builders to construct in accordance with an adopted residential building code under Ala. Code § 34-14A-12. Outside corporate limits, many Alabama counties currently have no permit or inspection regime — a significant homeowner risk.</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2. Implied Warranty of Habitability</w:t>
      </w:r>
    </w:p>
    <w:p>
      <w:pPr>
        <w:pStyle w:val="Heading2"/>
        <w:keepNext/>
        <w:spacing w:after="120" w:before="260"/>
      </w:pPr>
      <w:r>
        <w:rPr>
          <w:rFonts w:ascii="Calibri" w:cs="Calibri" w:eastAsia="Calibri" w:hAnsi="Calibri"/>
          <w:b/>
          <w:bCs/>
          <w:color w:val="2B2B2B"/>
          <w:sz w:val="28"/>
          <w:szCs w:val="28"/>
        </w:rPr>
        <w:t xml:space="preserve">Recognition and scope</w:t>
      </w:r>
    </w:p>
    <w:p>
      <w:pPr>
        <w:spacing w:after="80" w:before="80" w:line="300"/>
        <w:jc w:val="left"/>
      </w:pPr>
      <w:r>
        <w:rPr>
          <w:rFonts w:ascii="Calibri" w:cs="Calibri" w:eastAsia="Calibri" w:hAnsi="Calibri"/>
          <w:b w:val="false"/>
          <w:bCs w:val="false"/>
          <w:i/>
          <w:iCs/>
          <w:color w:val="2B2B2B"/>
          <w:sz w:val="22"/>
          <w:szCs w:val="22"/>
        </w:rPr>
        <w:t xml:space="preserve">Cochran v. Keeton</w:t>
      </w:r>
      <w:r>
        <w:rPr>
          <w:rFonts w:ascii="Calibri" w:cs="Calibri" w:eastAsia="Calibri" w:hAnsi="Calibri"/>
          <w:color w:val="2B2B2B"/>
          <w:sz w:val="22"/>
          <w:szCs w:val="22"/>
        </w:rPr>
        <w:t xml:space="preserve">, 252 So. 2d 313 (Ala. 1971), abrogated </w:t>
      </w:r>
      <w:r>
        <w:rPr>
          <w:rFonts w:ascii="Calibri" w:cs="Calibri" w:eastAsia="Calibri" w:hAnsi="Calibri"/>
          <w:b w:val="false"/>
          <w:bCs w:val="false"/>
          <w:i/>
          <w:iCs/>
          <w:color w:val="2B2B2B"/>
          <w:sz w:val="22"/>
          <w:szCs w:val="22"/>
        </w:rPr>
        <w:t xml:space="preserve">caveat emptor</w:t>
      </w:r>
      <w:r>
        <w:rPr>
          <w:rFonts w:ascii="Calibri" w:cs="Calibri" w:eastAsia="Calibri" w:hAnsi="Calibri"/>
          <w:color w:val="2B2B2B"/>
          <w:sz w:val="22"/>
          <w:szCs w:val="22"/>
        </w:rPr>
        <w:t xml:space="preserve"> for the sale of a newly constructed dwelling by the builder-vendor. The Alabama Supreme Court affirmed the Court of Civil Appeals (252 So. 2d 307 (Ala. Civ. App. 1970)) and overruled </w:t>
      </w:r>
      <w:r>
        <w:rPr>
          <w:rFonts w:ascii="Calibri" w:cs="Calibri" w:eastAsia="Calibri" w:hAnsi="Calibri"/>
          <w:b w:val="false"/>
          <w:bCs w:val="false"/>
          <w:i/>
          <w:iCs/>
          <w:color w:val="2B2B2B"/>
          <w:sz w:val="22"/>
          <w:szCs w:val="22"/>
        </w:rPr>
        <w:t xml:space="preserve">Druid Homes, Inc. v. Cooper</w:t>
      </w:r>
      <w:r>
        <w:rPr>
          <w:rFonts w:ascii="Calibri" w:cs="Calibri" w:eastAsia="Calibri" w:hAnsi="Calibri"/>
          <w:color w:val="2B2B2B"/>
          <w:sz w:val="22"/>
          <w:szCs w:val="22"/>
        </w:rPr>
        <w:t xml:space="preserve">, 272 Ala. 415, 131 So. 2d 884 (1961). The warranty is judicially created — there is no statute that codifies it.</w:t>
      </w:r>
    </w:p>
    <w:p>
      <w:pPr>
        <w:spacing w:after="80" w:before="80" w:line="300"/>
        <w:jc w:val="left"/>
      </w:pPr>
      <w:r>
        <w:rPr>
          <w:rFonts w:ascii="Calibri" w:cs="Calibri" w:eastAsia="Calibri" w:hAnsi="Calibri"/>
          <w:b/>
          <w:bCs/>
          <w:i w:val="false"/>
          <w:iCs w:val="false"/>
          <w:color w:val="2B2B2B"/>
          <w:sz w:val="22"/>
          <w:szCs w:val="22"/>
        </w:rPr>
        <w:t xml:space="preserve">Note on dating.</w:t>
      </w:r>
      <w:r>
        <w:rPr>
          <w:rFonts w:ascii="Calibri" w:cs="Calibri" w:eastAsia="Calibri" w:hAnsi="Calibri"/>
          <w:color w:val="2B2B2B"/>
          <w:sz w:val="22"/>
          <w:szCs w:val="22"/>
        </w:rPr>
        <w:t xml:space="preserve"> Cochran v. Keeton is often miscited as a 1973 case. The correct year is 1971.</w:t>
      </w:r>
    </w:p>
    <w:p>
      <w:pPr>
        <w:pStyle w:val="Heading2"/>
        <w:keepNext/>
        <w:spacing w:after="120" w:before="260"/>
      </w:pPr>
      <w:r>
        <w:rPr>
          <w:rFonts w:ascii="Calibri" w:cs="Calibri" w:eastAsia="Calibri" w:hAnsi="Calibri"/>
          <w:b/>
          <w:bCs/>
          <w:color w:val="2B2B2B"/>
          <w:sz w:val="28"/>
          <w:szCs w:val="28"/>
        </w:rPr>
        <w:t xml:space="preserve">Six elements</w:t>
      </w:r>
    </w:p>
    <w:p>
      <w:pPr>
        <w:spacing w:after="80" w:before="80" w:line="300"/>
        <w:jc w:val="left"/>
      </w:pPr>
      <w:r>
        <w:rPr>
          <w:rFonts w:ascii="Calibri" w:cs="Calibri" w:eastAsia="Calibri" w:hAnsi="Calibri"/>
          <w:b w:val="false"/>
          <w:bCs w:val="false"/>
          <w:i/>
          <w:iCs/>
          <w:color w:val="2B2B2B"/>
          <w:sz w:val="22"/>
          <w:szCs w:val="22"/>
        </w:rPr>
        <w:t xml:space="preserve">Sims v. Lewis</w:t>
      </w:r>
      <w:r>
        <w:rPr>
          <w:rFonts w:ascii="Calibri" w:cs="Calibri" w:eastAsia="Calibri" w:hAnsi="Calibri"/>
          <w:color w:val="2B2B2B"/>
          <w:sz w:val="22"/>
          <w:szCs w:val="22"/>
        </w:rPr>
        <w:t xml:space="preserve">, 374 So. 2d 298 (Ala. 1979), restated the cause of action. To recover under the implied warranty, the homeowner must prove all six elements:</w:t>
      </w:r>
    </w:p>
    <w:p>
      <w:pPr>
        <w:pStyle w:val="ListParagraph"/>
        <w:numPr>
          <w:ilvl w:val="0"/>
          <w:numId w:val="3"/>
        </w:numPr>
        <w:spacing w:after="60" w:before="60" w:line="280"/>
      </w:pPr>
      <w:r>
        <w:rPr>
          <w:rFonts w:ascii="Calibri" w:cs="Calibri" w:eastAsia="Calibri" w:hAnsi="Calibri"/>
          <w:color w:val="2B2B2B"/>
          <w:sz w:val="22"/>
          <w:szCs w:val="22"/>
        </w:rPr>
        <w:t xml:space="preserve">The homeowner purchased a new residence from the defendant.</w:t>
      </w:r>
    </w:p>
    <w:p>
      <w:pPr>
        <w:pStyle w:val="ListParagraph"/>
        <w:numPr>
          <w:ilvl w:val="0"/>
          <w:numId w:val="3"/>
        </w:numPr>
        <w:spacing w:after="60" w:before="60" w:line="280"/>
      </w:pPr>
      <w:r>
        <w:rPr>
          <w:rFonts w:ascii="Calibri" w:cs="Calibri" w:eastAsia="Calibri" w:hAnsi="Calibri"/>
          <w:color w:val="2B2B2B"/>
          <w:sz w:val="22"/>
          <w:szCs w:val="22"/>
        </w:rPr>
        <w:t xml:space="preserve">The defendant constructed it.</w:t>
      </w:r>
    </w:p>
    <w:p>
      <w:pPr>
        <w:pStyle w:val="ListParagraph"/>
        <w:numPr>
          <w:ilvl w:val="0"/>
          <w:numId w:val="3"/>
        </w:numPr>
        <w:spacing w:after="60" w:before="60" w:line="280"/>
      </w:pPr>
      <w:r>
        <w:rPr>
          <w:rFonts w:ascii="Calibri" w:cs="Calibri" w:eastAsia="Calibri" w:hAnsi="Calibri"/>
          <w:color w:val="2B2B2B"/>
          <w:sz w:val="22"/>
          <w:szCs w:val="22"/>
        </w:rPr>
        <w:t xml:space="preserve">The residence had not been previously inhabited.</w:t>
      </w:r>
    </w:p>
    <w:p>
      <w:pPr>
        <w:pStyle w:val="ListParagraph"/>
        <w:numPr>
          <w:ilvl w:val="0"/>
          <w:numId w:val="3"/>
        </w:numPr>
        <w:spacing w:after="60" w:before="60" w:line="280"/>
      </w:pPr>
      <w:r>
        <w:rPr>
          <w:rFonts w:ascii="Calibri" w:cs="Calibri" w:eastAsia="Calibri" w:hAnsi="Calibri"/>
          <w:color w:val="2B2B2B"/>
          <w:sz w:val="22"/>
          <w:szCs w:val="22"/>
        </w:rPr>
        <w:t xml:space="preserve">It was built for sale and was sold in a defective condition that impaired the intended use as a residence.</w:t>
      </w:r>
    </w:p>
    <w:p>
      <w:pPr>
        <w:pStyle w:val="ListParagraph"/>
        <w:numPr>
          <w:ilvl w:val="0"/>
          <w:numId w:val="3"/>
        </w:numPr>
        <w:spacing w:after="60" w:before="60" w:line="280"/>
      </w:pPr>
      <w:r>
        <w:rPr>
          <w:rFonts w:ascii="Calibri" w:cs="Calibri" w:eastAsia="Calibri" w:hAnsi="Calibri"/>
          <w:color w:val="2B2B2B"/>
          <w:sz w:val="22"/>
          <w:szCs w:val="22"/>
        </w:rPr>
        <w:t xml:space="preserve">The homeowner did not know of the defect and could not reasonably have discovered it before purchase.</w:t>
      </w:r>
    </w:p>
    <w:p>
      <w:pPr>
        <w:pStyle w:val="ListParagraph"/>
        <w:numPr>
          <w:ilvl w:val="0"/>
          <w:numId w:val="3"/>
        </w:numPr>
        <w:spacing w:after="60" w:before="60" w:line="280"/>
      </w:pPr>
      <w:r>
        <w:rPr>
          <w:rFonts w:ascii="Calibri" w:cs="Calibri" w:eastAsia="Calibri" w:hAnsi="Calibri"/>
          <w:color w:val="2B2B2B"/>
          <w:sz w:val="22"/>
          <w:szCs w:val="22"/>
        </w:rPr>
        <w:t xml:space="preserve">The homeowner suffered damages, measured by the decrease in the residence's fair market value caused by the defect.</w:t>
      </w:r>
    </w:p>
    <w:p>
      <w:pPr>
        <w:pStyle w:val="Heading2"/>
        <w:keepNext/>
        <w:spacing w:after="120" w:before="260"/>
      </w:pPr>
      <w:r>
        <w:rPr>
          <w:rFonts w:ascii="Calibri" w:cs="Calibri" w:eastAsia="Calibri" w:hAnsi="Calibri"/>
          <w:b/>
          <w:bCs/>
          <w:color w:val="2B2B2B"/>
          <w:sz w:val="28"/>
          <w:szCs w:val="28"/>
        </w:rPr>
        <w:t xml:space="preserve">Who can sue</w:t>
      </w:r>
    </w:p>
    <w:p>
      <w:pPr>
        <w:spacing w:after="80" w:before="80" w:line="300"/>
        <w:jc w:val="left"/>
      </w:pPr>
      <w:r>
        <w:rPr>
          <w:rFonts w:ascii="Calibri" w:cs="Calibri" w:eastAsia="Calibri" w:hAnsi="Calibri"/>
          <w:color w:val="2B2B2B"/>
          <w:sz w:val="22"/>
          <w:szCs w:val="22"/>
        </w:rPr>
        <w:t xml:space="preserve">The warranty runs to the </w:t>
      </w:r>
      <w:r>
        <w:rPr>
          <w:rFonts w:ascii="Calibri" w:cs="Calibri" w:eastAsia="Calibri" w:hAnsi="Calibri"/>
          <w:b/>
          <w:bCs/>
          <w:i w:val="false"/>
          <w:iCs w:val="false"/>
          <w:color w:val="2B2B2B"/>
          <w:sz w:val="22"/>
          <w:szCs w:val="22"/>
        </w:rPr>
        <w:t xml:space="preserve">original purchaser </w:t>
      </w:r>
      <w:r>
        <w:rPr>
          <w:rFonts w:ascii="Calibri" w:cs="Calibri" w:eastAsia="Calibri" w:hAnsi="Calibri"/>
          <w:color w:val="2B2B2B"/>
          <w:sz w:val="22"/>
          <w:szCs w:val="22"/>
        </w:rPr>
        <w:t xml:space="preserve">only. The third Sims element (no prior inhabitation) effectively forecloses claims by subsequent buyers. </w:t>
      </w:r>
      <w:r>
        <w:rPr>
          <w:rFonts w:ascii="Calibri" w:cs="Calibri" w:eastAsia="Calibri" w:hAnsi="Calibri"/>
          <w:b w:val="false"/>
          <w:bCs w:val="false"/>
          <w:i/>
          <w:iCs/>
          <w:color w:val="2B2B2B"/>
          <w:sz w:val="22"/>
          <w:szCs w:val="22"/>
        </w:rPr>
        <w:t xml:space="preserve">Hope v. Brannan</w:t>
      </w:r>
      <w:r>
        <w:rPr>
          <w:rFonts w:ascii="Calibri" w:cs="Calibri" w:eastAsia="Calibri" w:hAnsi="Calibri"/>
          <w:color w:val="2B2B2B"/>
          <w:sz w:val="22"/>
          <w:szCs w:val="22"/>
        </w:rPr>
        <w:t xml:space="preserve">, 557 So. 2d 1208 (Ala. 1989), confirms that </w:t>
      </w:r>
      <w:r>
        <w:rPr>
          <w:rFonts w:ascii="Calibri" w:cs="Calibri" w:eastAsia="Calibri" w:hAnsi="Calibri"/>
          <w:b w:val="false"/>
          <w:bCs w:val="false"/>
          <w:i/>
          <w:iCs/>
          <w:color w:val="2B2B2B"/>
          <w:sz w:val="22"/>
          <w:szCs w:val="22"/>
        </w:rPr>
        <w:t xml:space="preserve">caveat emptor</w:t>
      </w:r>
      <w:r>
        <w:rPr>
          <w:rFonts w:ascii="Calibri" w:cs="Calibri" w:eastAsia="Calibri" w:hAnsi="Calibri"/>
          <w:color w:val="2B2B2B"/>
          <w:sz w:val="22"/>
          <w:szCs w:val="22"/>
        </w:rPr>
        <w:t xml:space="preserve"> continues to govern the resale of used homes. Subsequent purchasers must rely on negligence, fraud, or an express warranty that was assigned to them.</w:t>
      </w:r>
    </w:p>
    <w:p>
      <w:pPr>
        <w:pStyle w:val="Heading2"/>
        <w:keepNext/>
        <w:spacing w:after="120" w:before="260"/>
      </w:pPr>
      <w:r>
        <w:rPr>
          <w:rFonts w:ascii="Calibri" w:cs="Calibri" w:eastAsia="Calibri" w:hAnsi="Calibri"/>
          <w:b/>
          <w:bCs/>
          <w:color w:val="2B2B2B"/>
          <w:sz w:val="28"/>
          <w:szCs w:val="28"/>
        </w:rPr>
        <w:t xml:space="preserve">What it covers</w:t>
      </w:r>
    </w:p>
    <w:p>
      <w:pPr>
        <w:spacing w:after="80" w:before="80" w:line="300"/>
        <w:jc w:val="left"/>
      </w:pPr>
      <w:r>
        <w:rPr>
          <w:rFonts w:ascii="Calibri" w:cs="Calibri" w:eastAsia="Calibri" w:hAnsi="Calibri"/>
          <w:b w:val="false"/>
          <w:bCs w:val="false"/>
          <w:i w:val="false"/>
          <w:iCs w:val="false"/>
          <w:color w:val="2B2B2B"/>
          <w:sz w:val="22"/>
          <w:szCs w:val="22"/>
        </w:rPr>
        <w:t xml:space="preserve">Defects that impair the structure's use as a habitable dwelling — typically major structural failure, foundation movement, water intrusion, sewer or septic failure, and electrical or HVAC failures that make the home unfit. Purely cosmetic deficiencies and minor non-conformities do not qualify.</w:t>
      </w:r>
    </w:p>
    <w:p>
      <w:pPr>
        <w:pStyle w:val="Heading2"/>
        <w:keepNext/>
        <w:spacing w:after="120" w:before="260"/>
      </w:pPr>
      <w:r>
        <w:rPr>
          <w:rFonts w:ascii="Calibri" w:cs="Calibri" w:eastAsia="Calibri" w:hAnsi="Calibri"/>
          <w:b/>
          <w:bCs/>
          <w:color w:val="2B2B2B"/>
          <w:sz w:val="28"/>
          <w:szCs w:val="28"/>
        </w:rPr>
        <w:t xml:space="preserve">What it does NOT cover</w:t>
      </w:r>
    </w:p>
    <w:p>
      <w:pPr>
        <w:spacing w:after="80" w:before="80" w:line="300"/>
        <w:jc w:val="left"/>
      </w:pPr>
      <w:r>
        <w:rPr>
          <w:rFonts w:ascii="Calibri" w:cs="Calibri" w:eastAsia="Calibri" w:hAnsi="Calibri"/>
          <w:b w:val="false"/>
          <w:bCs w:val="false"/>
          <w:i/>
          <w:iCs/>
          <w:color w:val="2B2B2B"/>
          <w:sz w:val="22"/>
          <w:szCs w:val="22"/>
        </w:rPr>
        <w:t xml:space="preserve">Clay Kilgore Construction, Inc. v. Buchalter/Grant, L.L.C.</w:t>
      </w:r>
      <w:r>
        <w:rPr>
          <w:rFonts w:ascii="Calibri" w:cs="Calibri" w:eastAsia="Calibri" w:hAnsi="Calibri"/>
          <w:color w:val="2B2B2B"/>
          <w:sz w:val="22"/>
          <w:szCs w:val="22"/>
        </w:rPr>
        <w:t xml:space="preserve">, 949 So. 2d 893 (Ala. 2006), holds that the implied warranty of habitability does not extend to the sale of unimproved land, even where the land is sold for residential construction purposes. The warranty attaches to the dwelling itself.</w:t>
      </w:r>
    </w:p>
    <w:p>
      <w:pPr>
        <w:pStyle w:val="Heading2"/>
        <w:keepNext/>
        <w:spacing w:after="120" w:before="260"/>
      </w:pPr>
      <w:r>
        <w:rPr>
          <w:rFonts w:ascii="Calibri" w:cs="Calibri" w:eastAsia="Calibri" w:hAnsi="Calibri"/>
          <w:b/>
          <w:bCs/>
          <w:color w:val="2B2B2B"/>
          <w:sz w:val="28"/>
          <w:szCs w:val="28"/>
        </w:rPr>
        <w:t xml:space="preserve">Disclaimer</w:t>
      </w:r>
    </w:p>
    <w:p>
      <w:pPr>
        <w:spacing w:after="80" w:before="80" w:line="300"/>
        <w:jc w:val="left"/>
      </w:pPr>
      <w:r>
        <w:rPr>
          <w:rFonts w:ascii="Calibri" w:cs="Calibri" w:eastAsia="Calibri" w:hAnsi="Calibri"/>
          <w:b w:val="false"/>
          <w:bCs w:val="false"/>
          <w:i/>
          <w:iCs/>
          <w:color w:val="2B2B2B"/>
          <w:sz w:val="22"/>
          <w:szCs w:val="22"/>
        </w:rPr>
        <w:t xml:space="preserve">Turner v. Westhampton Court, LLC</w:t>
      </w:r>
      <w:r>
        <w:rPr>
          <w:rFonts w:ascii="Calibri" w:cs="Calibri" w:eastAsia="Calibri" w:hAnsi="Calibri"/>
          <w:color w:val="2B2B2B"/>
          <w:sz w:val="22"/>
          <w:szCs w:val="22"/>
        </w:rPr>
        <w:t xml:space="preserve">, 903 So. 2d 82 (Ala. 2004), and </w:t>
      </w:r>
      <w:r>
        <w:rPr>
          <w:rFonts w:ascii="Calibri" w:cs="Calibri" w:eastAsia="Calibri" w:hAnsi="Calibri"/>
          <w:b w:val="false"/>
          <w:bCs w:val="false"/>
          <w:i/>
          <w:iCs/>
          <w:color w:val="2B2B2B"/>
          <w:sz w:val="22"/>
          <w:szCs w:val="22"/>
        </w:rPr>
        <w:t xml:space="preserve">Stewart v. Bradley</w:t>
      </w:r>
      <w:r>
        <w:rPr>
          <w:rFonts w:ascii="Calibri" w:cs="Calibri" w:eastAsia="Calibri" w:hAnsi="Calibri"/>
          <w:color w:val="2B2B2B"/>
          <w:sz w:val="22"/>
          <w:szCs w:val="22"/>
        </w:rPr>
        <w:t xml:space="preserve">, 15 So. 3d 533 (Ala. Civ. App. 2008), establish that a builder </w:t>
      </w:r>
      <w:r>
        <w:rPr>
          <w:rFonts w:ascii="Calibri" w:cs="Calibri" w:eastAsia="Calibri" w:hAnsi="Calibri"/>
          <w:b/>
          <w:bCs/>
          <w:i w:val="false"/>
          <w:iCs w:val="false"/>
          <w:color w:val="2B2B2B"/>
          <w:sz w:val="22"/>
          <w:szCs w:val="22"/>
        </w:rPr>
        <w:t xml:space="preserve">can </w:t>
      </w:r>
      <w:r>
        <w:rPr>
          <w:rFonts w:ascii="Calibri" w:cs="Calibri" w:eastAsia="Calibri" w:hAnsi="Calibri"/>
          <w:color w:val="2B2B2B"/>
          <w:sz w:val="22"/>
          <w:szCs w:val="22"/>
        </w:rPr>
        <w:t xml:space="preserve">disclaim the implied warranty of habitability by a clear, conspicuous, written disclaimer that the buyer signs or initials. Alabama has no statutory anti-waiver provision protecting homeowners against this — courts apply ordinary freedom-of-contract principles. In practice, most production-builder closing packages include such a disclaimer paired with an express limited warranty (often 1 year / 2 years / 10 years through a third-party warranty company). Homeowners frequently do not realize they signed away the implied warranty at closing.</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3. Statutes of Limitation and Repose</w:t>
      </w:r>
    </w:p>
    <w:p>
      <w:pPr>
        <w:spacing w:after="80" w:before="80" w:line="300"/>
        <w:jc w:val="left"/>
      </w:pPr>
      <w:r>
        <w:rPr>
          <w:rFonts w:ascii="Calibri" w:cs="Calibri" w:eastAsia="Calibri" w:hAnsi="Calibri"/>
          <w:b w:val="false"/>
          <w:bCs w:val="false"/>
          <w:i w:val="false"/>
          <w:iCs w:val="false"/>
          <w:color w:val="2B2B2B"/>
          <w:sz w:val="22"/>
          <w:szCs w:val="22"/>
        </w:rPr>
        <w:t xml:space="preserve">Three clocks run in parallel. Whichever expires first controls the claim.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4000"/>
      </w:tblGrid>
      <w:tr>
        <w:trPr>
          <w:tblHeader/>
        </w:trPr>
        <w:tc>
          <w:tcPr>
            <w:tcW w:type="dxa" w:w="33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Theory of liability</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Period</w:t>
            </w:r>
          </w:p>
        </w:tc>
        <w:tc>
          <w:tcPr>
            <w:tcW w:type="dxa" w:w="4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 accrual</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written contract / express written warranty</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6 years (§ 6-2-34) / accrual under § 6-5-227</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breach; for written warranty, accrual occurs during the warranty term</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Negligence / wantonness / fraud against architect, engineer, builder</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 years (§ 6-5-221)</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When damage occurs; for latent defects, when the damage was or reasonably should have been discovered</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Improvements to real property — statute of repose</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7 years (§ 6-5-218 / § 6-5-221)</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substantial completion of the improvement — absolute outer limit for non-contract claims</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Alabama Deceptive Trade Practices Act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1 year from discovery / 4 years absolute (§ 8-19-14)</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Discovery of the deceptive act; 4-year ceiling regardless of discovery</w:t>
            </w:r>
          </w:p>
        </w:tc>
      </w:tr>
    </w:tbl>
    <w:p>
      <w:pPr>
        <w:pStyle w:val="Heading2"/>
        <w:keepNext/>
        <w:spacing w:after="120" w:before="260"/>
      </w:pPr>
      <w:r>
        <w:rPr>
          <w:rFonts w:ascii="Calibri" w:cs="Calibri" w:eastAsia="Calibri" w:hAnsi="Calibri"/>
          <w:b/>
          <w:bCs/>
          <w:color w:val="2B2B2B"/>
          <w:sz w:val="28"/>
          <w:szCs w:val="28"/>
        </w:rPr>
        <w:t xml:space="preserve">Two overlapping repose provisions</w:t>
      </w:r>
    </w:p>
    <w:p>
      <w:pPr>
        <w:spacing w:after="80" w:before="80" w:line="300"/>
        <w:jc w:val="left"/>
      </w:pPr>
      <w:r>
        <w:rPr>
          <w:rFonts w:ascii="Calibri" w:cs="Calibri" w:eastAsia="Calibri" w:hAnsi="Calibri"/>
          <w:b w:val="false"/>
          <w:bCs w:val="false"/>
          <w:i w:val="false"/>
          <w:iCs w:val="false"/>
          <w:color w:val="2B2B2B"/>
          <w:sz w:val="22"/>
          <w:szCs w:val="22"/>
        </w:rPr>
        <w:t xml:space="preserve">Alabama law contains two repose statutes that cover essentially the same conduct: § 6-5-218 in Article 13 (real-property actions generally) and § 6-5-221 in Article 13A (architects, engineers, and builders specifically). Both impose a seven-year cap from substantial completion. § 6-5-221 contains a narrow exception for an architect, engineer, or builder who actually knew of the defect and failed to disclose it; § 6-5-218 does not contain that express exception. For non-fraud cases, the seven-year period operates as an absolute bar even where the defect could not reasonably have been discovered.</w:t>
      </w:r>
    </w:p>
    <w:p>
      <w:pPr>
        <w:pStyle w:val="Heading2"/>
        <w:keepNext/>
        <w:spacing w:after="120" w:before="260"/>
      </w:pPr>
      <w:r>
        <w:rPr>
          <w:rFonts w:ascii="Calibri" w:cs="Calibri" w:eastAsia="Calibri" w:hAnsi="Calibri"/>
          <w:b/>
          <w:bCs/>
          <w:color w:val="2B2B2B"/>
          <w:sz w:val="28"/>
          <w:szCs w:val="28"/>
        </w:rPr>
        <w:t xml:space="preserve">Written express warranties bypass the repose</w:t>
      </w:r>
    </w:p>
    <w:p>
      <w:pPr>
        <w:spacing w:after="80" w:before="80" w:line="300"/>
        <w:jc w:val="left"/>
      </w:pPr>
      <w:r>
        <w:rPr>
          <w:rFonts w:ascii="Calibri" w:cs="Calibri" w:eastAsia="Calibri" w:hAnsi="Calibri"/>
          <w:b w:val="false"/>
          <w:bCs w:val="false"/>
          <w:i w:val="false"/>
          <w:iCs w:val="false"/>
          <w:color w:val="2B2B2B"/>
          <w:sz w:val="22"/>
          <w:szCs w:val="22"/>
        </w:rPr>
        <w:t xml:space="preserve">Section 6-5-227 confirms that a civil action in contract on a written express warranty must be brought within two years of accrual, but the seven-year repose does not bar a written-warranty claim. A 10-year structural warranty therefore remains enforceable in years 8 through 10 of the warranty period, so long as the homeowner files within two years of when the cause of action accrued.</w:t>
      </w:r>
    </w:p>
    <w:p>
      <w:pPr>
        <w:pStyle w:val="Heading2"/>
        <w:keepNext/>
        <w:spacing w:after="120" w:before="260"/>
      </w:pPr>
      <w:r>
        <w:rPr>
          <w:rFonts w:ascii="Calibri" w:cs="Calibri" w:eastAsia="Calibri" w:hAnsi="Calibri"/>
          <w:b/>
          <w:bCs/>
          <w:color w:val="2B2B2B"/>
          <w:sz w:val="28"/>
          <w:szCs w:val="28"/>
        </w:rPr>
        <w:t xml:space="preserve">Discovery rule for latent defects</w:t>
      </w:r>
    </w:p>
    <w:p>
      <w:pPr>
        <w:spacing w:after="80" w:before="80" w:line="300"/>
        <w:jc w:val="left"/>
      </w:pPr>
      <w:r>
        <w:rPr>
          <w:rFonts w:ascii="Calibri" w:cs="Calibri" w:eastAsia="Calibri" w:hAnsi="Calibri"/>
          <w:color w:val="2B2B2B"/>
          <w:sz w:val="22"/>
          <w:szCs w:val="22"/>
        </w:rPr>
        <w:t xml:space="preserve">§ 6-5-221(a)(2) provides that a cause of action accrues when the damage or injury occurs, and for latent defects, when the damage is or reasonably should have been discovered. This is Alabama's discovery rule for latent construction defects. Homeowners and counsel should document the date of first noticeable symptom carefully, because that date often controls.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4. Pre-Suit Procedure</w:t>
      </w:r>
    </w:p>
    <w:p>
      <w:pPr>
        <w:pStyle w:val="Heading2"/>
        <w:keepNext/>
        <w:spacing w:after="120" w:before="260"/>
      </w:pPr>
      <w:r>
        <w:rPr>
          <w:rFonts w:ascii="Calibri" w:cs="Calibri" w:eastAsia="Calibri" w:hAnsi="Calibri"/>
          <w:b/>
          <w:bCs/>
          <w:color w:val="2B2B2B"/>
          <w:sz w:val="28"/>
          <w:szCs w:val="28"/>
        </w:rPr>
        <w:t xml:space="preserve">Alabama has no statutory right-to-cure or right-to-repair act</w:t>
      </w:r>
    </w:p>
    <w:p>
      <w:pPr>
        <w:spacing w:after="80" w:before="80" w:line="300"/>
        <w:jc w:val="left"/>
      </w:pPr>
      <w:r>
        <w:rPr>
          <w:rFonts w:ascii="Calibri" w:cs="Calibri" w:eastAsia="Calibri" w:hAnsi="Calibri"/>
          <w:b w:val="false"/>
          <w:bCs w:val="false"/>
          <w:i w:val="false"/>
          <w:iCs w:val="false"/>
          <w:color w:val="2B2B2B"/>
          <w:sz w:val="22"/>
          <w:szCs w:val="22"/>
        </w:rPr>
        <w:t xml:space="preserve">This is one of the most commonly misstated points about Alabama construction-defect practice. Multiple national "right-to-cure-by-state" summaries incorrectly list Alabama as having a statutory notice-and-repair scheme. It does not. There is no Alabama equivalent to Florida Chapter 558, Texas RCLA, Georgia O.C.G.A. § 8-2-35, or similar acts.</w:t>
      </w:r>
    </w:p>
    <w:p>
      <w:pPr>
        <w:pStyle w:val="Heading2"/>
        <w:keepNext/>
        <w:spacing w:after="120" w:before="260"/>
      </w:pPr>
      <w:r>
        <w:rPr>
          <w:rFonts w:ascii="Calibri" w:cs="Calibri" w:eastAsia="Calibri" w:hAnsi="Calibri"/>
          <w:b/>
          <w:bCs/>
          <w:color w:val="2B2B2B"/>
          <w:sz w:val="28"/>
          <w:szCs w:val="28"/>
        </w:rPr>
        <w:t xml:space="preserve">What pre-suit procedures actually apply</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HBLB complaint procedure. </w:t>
      </w:r>
      <w:r>
        <w:rPr>
          <w:rFonts w:ascii="Calibri" w:cs="Calibri" w:eastAsia="Calibri" w:hAnsi="Calibri"/>
          <w:color w:val="2B2B2B"/>
          <w:sz w:val="22"/>
          <w:szCs w:val="22"/>
        </w:rPr>
        <w:t xml:space="preserve">If the homeowner files a notarized consumer complaint with the Home Builders Licensure Board, the licensee is notified and is given 20 days to attempt informal resolution before the Board opens a formal investigation.</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Contractual notice provisions. </w:t>
      </w:r>
      <w:r>
        <w:rPr>
          <w:rFonts w:ascii="Calibri" w:cs="Calibri" w:eastAsia="Calibri" w:hAnsi="Calibri"/>
          <w:color w:val="2B2B2B"/>
          <w:sz w:val="22"/>
          <w:szCs w:val="22"/>
        </w:rPr>
        <w:t xml:space="preserve">Most builder contracts and limited-warranty documents impose their own written-notice and inspection-opportunity provisions — typically 30 days, sometimes 60. Alabama courts enforce these as written, and a homeowner who sues without first complying with the contractual notice provision can face dismissal or a stay.</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Good-faith demand letter. </w:t>
      </w:r>
      <w:r>
        <w:rPr>
          <w:rFonts w:ascii="Calibri" w:cs="Calibri" w:eastAsia="Calibri" w:hAnsi="Calibri"/>
          <w:color w:val="2B2B2B"/>
          <w:sz w:val="22"/>
          <w:szCs w:val="22"/>
        </w:rPr>
        <w:t xml:space="preserve">Although not statutorily mandated, counsel typically sends a written demand identifying each defect, attaching photographs and any third-party inspection reports, and offering a reasonable cure window before filing. A demand letter is also useful evidence of mitigation and of the homeowner's good faith should the claim later reach a jury.</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Homeowners' Recovery Fund notice. </w:t>
      </w:r>
      <w:r>
        <w:rPr>
          <w:rFonts w:ascii="Calibri" w:cs="Calibri" w:eastAsia="Calibri" w:hAnsi="Calibri"/>
          <w:color w:val="2B2B2B"/>
          <w:sz w:val="22"/>
          <w:szCs w:val="22"/>
        </w:rPr>
        <w:t xml:space="preserve">If the homeowner intends to claim against the HBLB Recovery Fund, the Board must be notified by certified mail with a copy of the complaint within 10 days of filing the civil lawsuit. Missing this 10-day window can forfeit Recovery Fund eligibility.</w:t>
      </w:r>
    </w:p>
    <w:p>
      <w:pPr>
        <w:pStyle w:val="Heading2"/>
        <w:keepNext/>
        <w:spacing w:after="120" w:before="260"/>
      </w:pPr>
      <w:r>
        <w:rPr>
          <w:rFonts w:ascii="Calibri" w:cs="Calibri" w:eastAsia="Calibri" w:hAnsi="Calibri"/>
          <w:b/>
          <w:bCs/>
          <w:color w:val="2B2B2B"/>
          <w:sz w:val="28"/>
          <w:szCs w:val="28"/>
        </w:rPr>
        <w:t xml:space="preserve">Recommended demand letter contents</w:t>
      </w:r>
    </w:p>
    <w:p>
      <w:pPr>
        <w:pStyle w:val="ListParagraph"/>
        <w:numPr>
          <w:ilvl w:val="0"/>
          <w:numId w:val="2"/>
        </w:numPr>
        <w:spacing w:after="40" w:before="40" w:line="280"/>
      </w:pPr>
      <w:r>
        <w:rPr>
          <w:rFonts w:ascii="Calibri" w:cs="Calibri" w:eastAsia="Calibri" w:hAnsi="Calibri"/>
          <w:color w:val="2B2B2B"/>
          <w:sz w:val="22"/>
          <w:szCs w:val="22"/>
        </w:rPr>
        <w:t xml:space="preserve">Identification of the homeowner, the property, the builder, the date of closing or first occupancy, and the limited warranty (if any).</w:t>
      </w:r>
    </w:p>
    <w:p>
      <w:pPr>
        <w:pStyle w:val="ListParagraph"/>
        <w:numPr>
          <w:ilvl w:val="0"/>
          <w:numId w:val="2"/>
        </w:numPr>
        <w:spacing w:after="40" w:before="40" w:line="280"/>
      </w:pPr>
      <w:r>
        <w:rPr>
          <w:rFonts w:ascii="Calibri" w:cs="Calibri" w:eastAsia="Calibri" w:hAnsi="Calibri"/>
          <w:color w:val="2B2B2B"/>
          <w:sz w:val="22"/>
          <w:szCs w:val="22"/>
        </w:rPr>
        <w:t xml:space="preserve">A defect-by-defect list with location, date first noticed, and reference to attached photographs.</w:t>
      </w:r>
    </w:p>
    <w:p>
      <w:pPr>
        <w:pStyle w:val="ListParagraph"/>
        <w:numPr>
          <w:ilvl w:val="0"/>
          <w:numId w:val="2"/>
        </w:numPr>
        <w:spacing w:after="40" w:before="40" w:line="280"/>
      </w:pPr>
      <w:r>
        <w:rPr>
          <w:rFonts w:ascii="Calibri" w:cs="Calibri" w:eastAsia="Calibri" w:hAnsi="Calibri"/>
          <w:color w:val="2B2B2B"/>
          <w:sz w:val="22"/>
          <w:szCs w:val="22"/>
        </w:rPr>
        <w:t xml:space="preserve">Any third-party inspection report (engineer, master plumber, master electrician, environmental, structural).</w:t>
      </w:r>
    </w:p>
    <w:p>
      <w:pPr>
        <w:pStyle w:val="ListParagraph"/>
        <w:numPr>
          <w:ilvl w:val="0"/>
          <w:numId w:val="2"/>
        </w:numPr>
        <w:spacing w:after="40" w:before="40" w:line="280"/>
      </w:pPr>
      <w:r>
        <w:rPr>
          <w:rFonts w:ascii="Calibri" w:cs="Calibri" w:eastAsia="Calibri" w:hAnsi="Calibri"/>
          <w:color w:val="2B2B2B"/>
          <w:sz w:val="22"/>
          <w:szCs w:val="22"/>
        </w:rPr>
        <w:t xml:space="preserve">The legal theory being asserted (implied warranty under Cochran/Sims, express limited warranty, negligence, fraud).</w:t>
      </w:r>
    </w:p>
    <w:p>
      <w:pPr>
        <w:pStyle w:val="ListParagraph"/>
        <w:numPr>
          <w:ilvl w:val="0"/>
          <w:numId w:val="2"/>
        </w:numPr>
        <w:spacing w:after="40" w:before="40" w:line="280"/>
      </w:pPr>
      <w:r>
        <w:rPr>
          <w:rFonts w:ascii="Calibri" w:cs="Calibri" w:eastAsia="Calibri" w:hAnsi="Calibri"/>
          <w:color w:val="2B2B2B"/>
          <w:sz w:val="22"/>
          <w:szCs w:val="22"/>
        </w:rPr>
        <w:t xml:space="preserve">The remedy demanded (repair by builder, repair by independent contractor at builder's cost, diminution in value, refund) and a stated dollar figure if known.</w:t>
      </w:r>
    </w:p>
    <w:p>
      <w:pPr>
        <w:pStyle w:val="ListParagraph"/>
        <w:numPr>
          <w:ilvl w:val="0"/>
          <w:numId w:val="2"/>
        </w:numPr>
        <w:spacing w:after="40" w:before="40" w:line="280"/>
      </w:pPr>
      <w:r>
        <w:rPr>
          <w:rFonts w:ascii="Calibri" w:cs="Calibri" w:eastAsia="Calibri" w:hAnsi="Calibri"/>
          <w:color w:val="2B2B2B"/>
          <w:sz w:val="22"/>
          <w:szCs w:val="22"/>
        </w:rPr>
        <w:t xml:space="preserve">A reasonable cure period — typically 30 days from receipt — with a statement that suit will be filed if the cure is not completed.</w:t>
      </w:r>
    </w:p>
    <w:p>
      <w:pPr>
        <w:pStyle w:val="ListParagraph"/>
        <w:numPr>
          <w:ilvl w:val="0"/>
          <w:numId w:val="2"/>
        </w:numPr>
        <w:spacing w:after="40" w:before="40" w:line="280"/>
      </w:pPr>
      <w:r>
        <w:rPr>
          <w:rFonts w:ascii="Calibri" w:cs="Calibri" w:eastAsia="Calibri" w:hAnsi="Calibri"/>
          <w:color w:val="2B2B2B"/>
          <w:sz w:val="22"/>
          <w:szCs w:val="22"/>
        </w:rPr>
        <w:t xml:space="preserve">A statement that all rights are reserved, that statutes of limitation are not waived, and that the letter is sent in compliance with any contractual notice provision.</w:t>
      </w:r>
    </w:p>
    <w:p>
      <w:pPr>
        <w:pStyle w:val="ListParagraph"/>
        <w:numPr>
          <w:ilvl w:val="0"/>
          <w:numId w:val="2"/>
        </w:numPr>
        <w:spacing w:after="40" w:before="40" w:line="280"/>
      </w:pPr>
      <w:r>
        <w:rPr>
          <w:rFonts w:ascii="Calibri" w:cs="Calibri" w:eastAsia="Calibri" w:hAnsi="Calibri"/>
          <w:color w:val="2B2B2B"/>
          <w:sz w:val="22"/>
          <w:szCs w:val="22"/>
        </w:rPr>
        <w:t xml:space="preserve">Service by certified mail, return receipt requested, with delivery confirmation kept in the file.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5. Home Builders Licensure Board (HBLB)</w:t>
      </w:r>
    </w:p>
    <w:p>
      <w:pPr>
        <w:pStyle w:val="Heading2"/>
        <w:keepNext/>
        <w:spacing w:after="120" w:before="260"/>
      </w:pPr>
      <w:r>
        <w:rPr>
          <w:rFonts w:ascii="Calibri" w:cs="Calibri" w:eastAsia="Calibri" w:hAnsi="Calibri"/>
          <w:b/>
          <w:bCs/>
          <w:color w:val="2B2B2B"/>
          <w:sz w:val="28"/>
          <w:szCs w:val="28"/>
        </w:rPr>
        <w:t xml:space="preserve">Licensure threshold</w:t>
      </w:r>
    </w:p>
    <w:p>
      <w:pPr>
        <w:spacing w:after="80" w:before="80" w:line="300"/>
        <w:jc w:val="left"/>
      </w:pPr>
      <w:r>
        <w:rPr>
          <w:rFonts w:ascii="Calibri" w:cs="Calibri" w:eastAsia="Calibri" w:hAnsi="Calibri"/>
          <w:b w:val="false"/>
          <w:bCs w:val="false"/>
          <w:i w:val="false"/>
          <w:iCs w:val="false"/>
          <w:color w:val="2B2B2B"/>
          <w:sz w:val="22"/>
          <w:szCs w:val="22"/>
        </w:rPr>
        <w:t xml:space="preserve">Under Ala. Code §§ 34-14A-1 et seq., a residential home builder license is required where the cost of the undertaking exceeds $10,000 for a residence not more than three stories and not more than four units. Residential roofer registration is required where the cost exceeds $2,500. Many counties outside corporate limits do not enforce HBLB licensing locally, but the requirement exists statewide as a matter of state law.</w:t>
      </w:r>
    </w:p>
    <w:p>
      <w:pPr>
        <w:pStyle w:val="Heading2"/>
        <w:keepNext/>
        <w:spacing w:after="120" w:before="260"/>
      </w:pPr>
      <w:r>
        <w:rPr>
          <w:rFonts w:ascii="Calibri" w:cs="Calibri" w:eastAsia="Calibri" w:hAnsi="Calibri"/>
          <w:b/>
          <w:bCs/>
          <w:color w:val="2B2B2B"/>
          <w:sz w:val="28"/>
          <w:szCs w:val="28"/>
        </w:rPr>
        <w:t xml:space="preserve">Complaint procedure</w:t>
      </w:r>
    </w:p>
    <w:p>
      <w:pPr>
        <w:pStyle w:val="ListParagraph"/>
        <w:numPr>
          <w:ilvl w:val="0"/>
          <w:numId w:val="2"/>
        </w:numPr>
        <w:spacing w:after="40" w:before="40" w:line="280"/>
      </w:pPr>
      <w:r>
        <w:rPr>
          <w:rFonts w:ascii="Calibri" w:cs="Calibri" w:eastAsia="Calibri" w:hAnsi="Calibri"/>
          <w:color w:val="2B2B2B"/>
          <w:sz w:val="22"/>
          <w:szCs w:val="22"/>
        </w:rPr>
        <w:t xml:space="preserve">The complaint must be filed by the original homeowner.</w:t>
      </w:r>
    </w:p>
    <w:p>
      <w:pPr>
        <w:pStyle w:val="ListParagraph"/>
        <w:numPr>
          <w:ilvl w:val="0"/>
          <w:numId w:val="2"/>
        </w:numPr>
        <w:spacing w:after="40" w:before="40" w:line="280"/>
      </w:pPr>
      <w:r>
        <w:rPr>
          <w:rFonts w:ascii="Calibri" w:cs="Calibri" w:eastAsia="Calibri" w:hAnsi="Calibri"/>
          <w:color w:val="2B2B2B"/>
          <w:sz w:val="22"/>
          <w:szCs w:val="22"/>
        </w:rPr>
        <w:t xml:space="preserve">The complaint form must be notarized.</w:t>
      </w:r>
    </w:p>
    <w:p>
      <w:pPr>
        <w:pStyle w:val="ListParagraph"/>
        <w:numPr>
          <w:ilvl w:val="0"/>
          <w:numId w:val="2"/>
        </w:numPr>
        <w:spacing w:after="40" w:before="40" w:line="280"/>
      </w:pPr>
      <w:r>
        <w:rPr>
          <w:rFonts w:ascii="Calibri" w:cs="Calibri" w:eastAsia="Calibri" w:hAnsi="Calibri"/>
          <w:color w:val="2B2B2B"/>
          <w:sz w:val="22"/>
          <w:szCs w:val="22"/>
        </w:rPr>
        <w:t xml:space="preserve">Filing is by mail only — no fax or email — to HBLB, P.O. Box 303605, Montgomery, AL 36130-3605.</w:t>
      </w:r>
    </w:p>
    <w:p>
      <w:pPr>
        <w:pStyle w:val="ListParagraph"/>
        <w:numPr>
          <w:ilvl w:val="0"/>
          <w:numId w:val="2"/>
        </w:numPr>
        <w:spacing w:after="40" w:before="40" w:line="280"/>
      </w:pPr>
      <w:r>
        <w:rPr>
          <w:rFonts w:ascii="Calibri" w:cs="Calibri" w:eastAsia="Calibri" w:hAnsi="Calibri"/>
          <w:color w:val="2B2B2B"/>
          <w:sz w:val="22"/>
          <w:szCs w:val="22"/>
        </w:rPr>
        <w:t xml:space="preserve">The complaint must be filed within six years of substantial completion or the original homeowner taking possession, whichever is later.</w:t>
      </w:r>
    </w:p>
    <w:p>
      <w:pPr>
        <w:pStyle w:val="ListParagraph"/>
        <w:numPr>
          <w:ilvl w:val="0"/>
          <w:numId w:val="2"/>
        </w:numPr>
        <w:spacing w:after="40" w:before="40" w:line="280"/>
      </w:pPr>
      <w:r>
        <w:rPr>
          <w:rFonts w:ascii="Calibri" w:cs="Calibri" w:eastAsia="Calibri" w:hAnsi="Calibri"/>
          <w:color w:val="2B2B2B"/>
          <w:sz w:val="22"/>
          <w:szCs w:val="22"/>
        </w:rPr>
        <w:t xml:space="preserve">The licensee receives 20 days to attempt informal resolution before the Board opens a formal investigation.</w:t>
      </w:r>
    </w:p>
    <w:p>
      <w:pPr>
        <w:pStyle w:val="ListParagraph"/>
        <w:numPr>
          <w:ilvl w:val="0"/>
          <w:numId w:val="2"/>
        </w:numPr>
        <w:spacing w:after="40" w:before="40" w:line="280"/>
      </w:pPr>
      <w:r>
        <w:rPr>
          <w:rFonts w:ascii="Calibri" w:cs="Calibri" w:eastAsia="Calibri" w:hAnsi="Calibri"/>
          <w:color w:val="2B2B2B"/>
          <w:sz w:val="22"/>
          <w:szCs w:val="22"/>
        </w:rPr>
        <w:t xml:space="preserve">Administrative outcomes can include reprimand, civil penalty, license suspension, or license revocation.</w:t>
      </w:r>
    </w:p>
    <w:p>
      <w:pPr>
        <w:pStyle w:val="Heading2"/>
        <w:keepNext/>
        <w:spacing w:after="120" w:before="260"/>
      </w:pPr>
      <w:r>
        <w:rPr>
          <w:rFonts w:ascii="Calibri" w:cs="Calibri" w:eastAsia="Calibri" w:hAnsi="Calibri"/>
          <w:b/>
          <w:bCs/>
          <w:color w:val="2B2B2B"/>
          <w:sz w:val="28"/>
          <w:szCs w:val="28"/>
        </w:rPr>
        <w:t xml:space="preserve">Homeowners' Recovery Fund — Ala. Code § 34-14A-15</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Per-transaction cap: </w:t>
      </w:r>
      <w:r>
        <w:rPr>
          <w:rFonts w:ascii="Calibri" w:cs="Calibri" w:eastAsia="Calibri" w:hAnsi="Calibri"/>
          <w:color w:val="2B2B2B"/>
          <w:sz w:val="22"/>
          <w:szCs w:val="22"/>
        </w:rPr>
        <w:t xml:space="preserve">$30,000 per single homeowner / per transaction.</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Aggregate cap: </w:t>
      </w:r>
      <w:r>
        <w:rPr>
          <w:rFonts w:ascii="Calibri" w:cs="Calibri" w:eastAsia="Calibri" w:hAnsi="Calibri"/>
          <w:color w:val="2B2B2B"/>
          <w:sz w:val="22"/>
          <w:szCs w:val="22"/>
        </w:rPr>
        <w:t xml:space="preserve">$90,000 per licensee, summed across all claimants.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Eligibility: </w:t>
      </w:r>
      <w:r>
        <w:rPr>
          <w:rFonts w:ascii="Calibri" w:cs="Calibri" w:eastAsia="Calibri" w:hAnsi="Calibri"/>
          <w:color w:val="2B2B2B"/>
          <w:sz w:val="22"/>
          <w:szCs w:val="22"/>
        </w:rPr>
        <w:t xml:space="preserve">the builder must have been licensed at the time of the work; the homeowner must obtain a valid, non-consent judgment from a court of competent jurisdiction; recovery is limited to actual economic damages — no pain and suffering, mental anguish, loss of consortium, interest, attorney's fees, or costs.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Timing: </w:t>
      </w:r>
      <w:r>
        <w:rPr>
          <w:rFonts w:ascii="Calibri" w:cs="Calibri" w:eastAsia="Calibri" w:hAnsi="Calibri"/>
          <w:color w:val="2B2B2B"/>
          <w:sz w:val="22"/>
          <w:szCs w:val="22"/>
        </w:rPr>
        <w:t xml:space="preserve">within 10 days of filing the civil lawsuit, the homeowner must notify the Board by certified mail with a copy of the complaint. After final judgment, the homeowner files a verified claim in the rendering court with 30 days' written notice to the Board.</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Practitioner note: </w:t>
      </w:r>
      <w:r>
        <w:rPr>
          <w:rFonts w:ascii="Calibri" w:cs="Calibri" w:eastAsia="Calibri" w:hAnsi="Calibri"/>
          <w:color w:val="2B2B2B"/>
          <w:sz w:val="22"/>
          <w:szCs w:val="22"/>
        </w:rPr>
        <w:t xml:space="preserve">consent judgments do not qualify. A homeowner who settles by consent decree forfeits Recovery Fund eligibility.</w:t>
      </w:r>
    </w:p>
    <w:p>
      <w:pPr>
        <w:pStyle w:val="Heading2"/>
        <w:keepNext/>
        <w:spacing w:after="120" w:before="260"/>
      </w:pPr>
      <w:r>
        <w:rPr>
          <w:rFonts w:ascii="Calibri" w:cs="Calibri" w:eastAsia="Calibri" w:hAnsi="Calibri"/>
          <w:b/>
          <w:bCs/>
          <w:color w:val="2B2B2B"/>
          <w:sz w:val="28"/>
          <w:szCs w:val="28"/>
        </w:rPr>
        <w:t xml:space="preserve">2024–2025 statutory changes — flag</w:t>
      </w:r>
    </w:p>
    <w:p>
      <w:pPr>
        <w:pStyle w:val="ListParagraph"/>
        <w:numPr>
          <w:ilvl w:val="0"/>
          <w:numId w:val="2"/>
        </w:numPr>
        <w:spacing w:after="40" w:before="40" w:line="280"/>
      </w:pPr>
      <w:r>
        <w:rPr>
          <w:rFonts w:ascii="Calibri" w:cs="Calibri" w:eastAsia="Calibri" w:hAnsi="Calibri"/>
          <w:color w:val="2B2B2B"/>
          <w:sz w:val="22"/>
          <w:szCs w:val="22"/>
        </w:rPr>
        <w:t xml:space="preserve">Acts 2024 No. 24-443 created the Alabama Residential Building Code Advisory Council and, effective January 1, 2027, requires residential home builders to construct in accordance with an adopted residential building code under § 34-14A-12 (or the local code, if applicable).</w:t>
      </w:r>
    </w:p>
    <w:p>
      <w:pPr>
        <w:pStyle w:val="ListParagraph"/>
        <w:numPr>
          <w:ilvl w:val="0"/>
          <w:numId w:val="2"/>
        </w:numPr>
        <w:spacing w:after="40" w:before="40" w:line="280"/>
      </w:pPr>
      <w:r>
        <w:rPr>
          <w:rFonts w:ascii="Calibri" w:cs="Calibri" w:eastAsia="Calibri" w:hAnsi="Calibri"/>
          <w:color w:val="2B2B2B"/>
          <w:sz w:val="22"/>
          <w:szCs w:val="22"/>
        </w:rPr>
        <w:t xml:space="preserve">Effective March 17, 2025, HBLB licensees must display the HBLB license number in all advertising, contracts, vehicle signage, and social media. Failure to do so is itself a regulatory violation and a useful early red flag during intake.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6. Parallel Complaint Channels</w:t>
      </w:r>
    </w:p>
    <w:p>
      <w:pPr>
        <w:spacing w:after="80" w:before="80" w:line="300"/>
        <w:jc w:val="left"/>
      </w:pPr>
      <w:r>
        <w:rPr>
          <w:rFonts w:ascii="Calibri" w:cs="Calibri" w:eastAsia="Calibri" w:hAnsi="Calibri"/>
          <w:b w:val="false"/>
          <w:bCs w:val="false"/>
          <w:i w:val="false"/>
          <w:iCs w:val="false"/>
          <w:color w:val="2B2B2B"/>
          <w:sz w:val="22"/>
          <w:szCs w:val="22"/>
        </w:rPr>
        <w:t xml:space="preserve">The HBLB process is administrative and does not provide direct monetary relief outside the Recovery Fund. A homeowner with a meaningful claim should consider filing in several forums in parallel.</w:t>
      </w:r>
    </w:p>
    <w:p>
      <w:pPr>
        <w:pStyle w:val="Heading2"/>
        <w:keepNext/>
        <w:spacing w:after="120" w:before="260"/>
      </w:pPr>
      <w:r>
        <w:rPr>
          <w:rFonts w:ascii="Calibri" w:cs="Calibri" w:eastAsia="Calibri" w:hAnsi="Calibri"/>
          <w:b/>
          <w:bCs/>
          <w:color w:val="2B2B2B"/>
          <w:sz w:val="28"/>
          <w:szCs w:val="28"/>
        </w:rPr>
        <w:t xml:space="preserve">State agencies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Alabama Attorney General — Consumer Interest Division. </w:t>
      </w:r>
      <w:r>
        <w:rPr>
          <w:rFonts w:ascii="Calibri" w:cs="Calibri" w:eastAsia="Calibri" w:hAnsi="Calibri"/>
          <w:color w:val="2B2B2B"/>
          <w:sz w:val="22"/>
          <w:szCs w:val="22"/>
        </w:rPr>
        <w:t xml:space="preserve">Online complaints accepted at </w:t>
      </w:r>
      <w:hyperlink w:history="1" r:id="rIdj3p2chiha6mfa_0defugg">
        <w:r>
          <w:rPr>
            <w:rFonts w:ascii="Calibri" w:cs="Calibri" w:eastAsia="Calibri" w:hAnsi="Calibri"/>
            <w:color w:val="1F3A68"/>
            <w:sz w:val="22"/>
            <w:szCs w:val="22"/>
            <w:u w:val="single"/>
          </w:rPr>
          <w:t xml:space="preserve">alabamaag.gov/consumer-complaint</w:t>
        </w:r>
      </w:hyperlink>
      <w:r>
        <w:rPr>
          <w:rFonts w:ascii="Calibri" w:cs="Calibri" w:eastAsia="Calibri" w:hAnsi="Calibri"/>
          <w:color w:val="2B2B2B"/>
          <w:sz w:val="22"/>
          <w:szCs w:val="22"/>
        </w:rPr>
        <w:t xml:space="preserve">; hotline 1-800-392-5658 or 334-242-7335. The AG generally does not litigate individual cases but tracks deceptive-trade-practice patterns and can refer cases.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Alabama Manufactured Housing Commission. </w:t>
      </w:r>
      <w:r>
        <w:rPr>
          <w:rFonts w:ascii="Calibri" w:cs="Calibri" w:eastAsia="Calibri" w:hAnsi="Calibri"/>
          <w:color w:val="2B2B2B"/>
          <w:sz w:val="22"/>
          <w:szCs w:val="22"/>
        </w:rPr>
        <w:t xml:space="preserve">Regulates manufactured (HUD-Code) housing and the modular building program. Receives complaints against manufacturers, retailers, and installers. </w:t>
      </w:r>
      <w:hyperlink w:history="1" r:id="rIdw5oazwoer4gexqgzkxdtf">
        <w:r>
          <w:rPr>
            <w:rFonts w:ascii="Calibri" w:cs="Calibri" w:eastAsia="Calibri" w:hAnsi="Calibri"/>
            <w:color w:val="1F3A68"/>
            <w:sz w:val="22"/>
            <w:szCs w:val="22"/>
            <w:u w:val="single"/>
          </w:rPr>
          <w:t xml:space="preserve">amhc.alabama.gov</w:t>
        </w:r>
      </w:hyperlink>
      <w:r>
        <w:rPr>
          <w:rFonts w:ascii="Calibri" w:cs="Calibri" w:eastAsia="Calibri" w:hAnsi="Calibri"/>
          <w:color w:val="2B2B2B"/>
          <w:sz w:val="22"/>
          <w:szCs w:val="22"/>
        </w:rPr>
        <w:t xml:space="preserve">.</w:t>
      </w:r>
    </w:p>
    <w:p>
      <w:pPr>
        <w:pStyle w:val="Heading2"/>
        <w:keepNext/>
        <w:spacing w:after="120" w:before="260"/>
      </w:pPr>
      <w:r>
        <w:rPr>
          <w:rFonts w:ascii="Calibri" w:cs="Calibri" w:eastAsia="Calibri" w:hAnsi="Calibri"/>
          <w:b/>
          <w:bCs/>
          <w:color w:val="2B2B2B"/>
          <w:sz w:val="28"/>
          <w:szCs w:val="28"/>
        </w:rPr>
        <w:t xml:space="preserve">Local building code enforcement</w:t>
      </w:r>
    </w:p>
    <w:p>
      <w:pPr>
        <w:spacing w:after="80" w:before="80" w:line="300"/>
        <w:jc w:val="left"/>
      </w:pPr>
      <w:r>
        <w:rPr>
          <w:rFonts w:ascii="Calibri" w:cs="Calibri" w:eastAsia="Calibri" w:hAnsi="Calibri"/>
          <w:b w:val="false"/>
          <w:bCs w:val="false"/>
          <w:i w:val="false"/>
          <w:iCs w:val="false"/>
          <w:color w:val="2B2B2B"/>
          <w:sz w:val="22"/>
          <w:szCs w:val="22"/>
        </w:rPr>
        <w:t xml:space="preserve">Inside corporate limits — Birmingham, Huntsville, Mobile, Montgomery, Tuscaloosa, and most other municipalities — the city Building Inspections Department issues permits and conducts rough and final inspections. A code-violation complaint to the city can trigger a re-inspection, a stop-work order, or a certificate-of-occupancy revocation. Outside corporate limits, many Alabama counties have no permit or inspection regime, which limits the homeowner's leverage.</w:t>
      </w:r>
    </w:p>
    <w:p>
      <w:pPr>
        <w:pStyle w:val="Heading2"/>
        <w:keepNext/>
        <w:spacing w:after="120" w:before="260"/>
      </w:pPr>
      <w:r>
        <w:rPr>
          <w:rFonts w:ascii="Calibri" w:cs="Calibri" w:eastAsia="Calibri" w:hAnsi="Calibri"/>
          <w:b/>
          <w:bCs/>
          <w:color w:val="2B2B2B"/>
          <w:sz w:val="28"/>
          <w:szCs w:val="28"/>
        </w:rPr>
        <w:t xml:space="preserve">Industry associations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Home Builders Association of Alabama (HBAA): </w:t>
      </w:r>
      <w:hyperlink w:history="1" r:id="rId6pnsjxwwvrza0fju8ftux">
        <w:r>
          <w:rPr>
            <w:rFonts w:ascii="Calibri" w:cs="Calibri" w:eastAsia="Calibri" w:hAnsi="Calibri"/>
            <w:color w:val="1F3A68"/>
            <w:sz w:val="22"/>
            <w:szCs w:val="22"/>
            <w:u w:val="single"/>
          </w:rPr>
          <w:t xml:space="preserve">hbaa.org</w:t>
        </w:r>
      </w:hyperlink>
      <w:r>
        <w:rPr>
          <w:rFonts w:ascii="Calibri" w:cs="Calibri" w:eastAsia="Calibri" w:hAnsi="Calibri"/>
          <w:color w:val="2B2B2B"/>
          <w:sz w:val="22"/>
          <w:szCs w:val="22"/>
        </w:rPr>
        <w:t xml:space="preserve">. Local chapters include the Greater Birmingham Association of Home Builders, the Huntsville/Madison County HBA, the Greater Mobile HBA, and the Baldwin County HBA. The HBAA chapters do not generally run formal binding dispute-resolution programs, but they may provide informal mediation referrals.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Better Business Bureau Serving Central &amp; South Alabama and BBB Serving North Alabama. </w:t>
      </w:r>
      <w:r>
        <w:rPr>
          <w:rFonts w:ascii="Calibri" w:cs="Calibri" w:eastAsia="Calibri" w:hAnsi="Calibri"/>
          <w:color w:val="2B2B2B"/>
          <w:sz w:val="22"/>
          <w:szCs w:val="22"/>
        </w:rPr>
        <w:t xml:space="preserve">Non-binding complaint and mediation services. </w:t>
      </w:r>
      <w:hyperlink w:history="1" r:id="rIdomlja4pcwuvvbakb_m2bx">
        <w:r>
          <w:rPr>
            <w:rFonts w:ascii="Calibri" w:cs="Calibri" w:eastAsia="Calibri" w:hAnsi="Calibri"/>
            <w:color w:val="1F3A68"/>
            <w:sz w:val="22"/>
            <w:szCs w:val="22"/>
            <w:u w:val="single"/>
          </w:rPr>
          <w:t xml:space="preserve">bbb.org</w:t>
        </w:r>
      </w:hyperlink>
      <w:r>
        <w:rPr>
          <w:rFonts w:ascii="Calibri" w:cs="Calibri" w:eastAsia="Calibri" w:hAnsi="Calibri"/>
          <w:color w:val="2B2B2B"/>
          <w:sz w:val="22"/>
          <w:szCs w:val="22"/>
        </w:rPr>
        <w:t xml:space="preserv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7. Court Jurisdiction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000"/>
        <w:gridCol w:w="2960"/>
      </w:tblGrid>
      <w:tr>
        <w:trPr>
          <w:tblHeader/>
        </w:trPr>
        <w:tc>
          <w:tcPr>
            <w:tcW w:type="dxa" w:w="2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Court</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Dollar limit</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Statute</w:t>
            </w:r>
          </w:p>
        </w:tc>
        <w:tc>
          <w:tcPr>
            <w:tcW w:type="dxa" w:w="29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Notes</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Small Claims (within District Court)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$6,000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12-12-31</w:t>
            </w:r>
          </w:p>
        </w:tc>
        <w:tc>
          <w:tcPr>
            <w:tcW w:type="dxa" w:w="2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Simplified procedure; parties may appear with or without counsel.</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District Court — general civil</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$20,000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12-12-30</w:t>
            </w:r>
          </w:p>
        </w:tc>
        <w:tc>
          <w:tcPr>
            <w:tcW w:type="dxa" w:w="2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Limit raised from $10,000 effective September 1, 2019.</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Circuit Court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Over $20,000 (exclusive); $6,000–$20,000 concurrent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12-11-30</w:t>
            </w:r>
          </w:p>
        </w:tc>
        <w:tc>
          <w:tcPr>
            <w:tcW w:type="dxa" w:w="2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Full discovery; jury trial available; most new-home defect claims proceed here.</w:t>
            </w:r>
          </w:p>
        </w:tc>
      </w:tr>
    </w:tbl>
    <w:p>
      <w:pPr>
        <w:spacing w:after="80" w:before="120" w:line="300"/>
        <w:jc w:val="left"/>
      </w:pPr>
      <w:r>
        <w:rPr>
          <w:rFonts w:ascii="Calibri" w:cs="Calibri" w:eastAsia="Calibri" w:hAnsi="Calibri"/>
          <w:b w:val="false"/>
          <w:bCs w:val="false"/>
          <w:i w:val="false"/>
          <w:iCs w:val="false"/>
          <w:color w:val="2B2B2B"/>
          <w:sz w:val="22"/>
          <w:szCs w:val="22"/>
        </w:rPr>
        <w:t xml:space="preserve">Most meaningful new-home defect cases — foundation movement, water intrusion, structural failure — exceed the District Court ceiling and proceed in Circuit Court in the county where the property sits.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8. Damages</w:t>
      </w:r>
    </w:p>
    <w:p>
      <w:pPr>
        <w:pStyle w:val="Heading2"/>
        <w:keepNext/>
        <w:spacing w:after="120" w:before="260"/>
      </w:pPr>
      <w:r>
        <w:rPr>
          <w:rFonts w:ascii="Calibri" w:cs="Calibri" w:eastAsia="Calibri" w:hAnsi="Calibri"/>
          <w:b/>
          <w:bCs/>
          <w:color w:val="2B2B2B"/>
          <w:sz w:val="28"/>
          <w:szCs w:val="28"/>
        </w:rPr>
        <w:t xml:space="preserve">Implied warranty</w:t>
      </w:r>
    </w:p>
    <w:p>
      <w:pPr>
        <w:spacing w:after="80" w:before="80" w:line="300"/>
        <w:jc w:val="left"/>
      </w:pPr>
      <w:r>
        <w:rPr>
          <w:rFonts w:ascii="Calibri" w:cs="Calibri" w:eastAsia="Calibri" w:hAnsi="Calibri"/>
          <w:b w:val="false"/>
          <w:bCs w:val="false"/>
          <w:i/>
          <w:iCs/>
          <w:color w:val="2B2B2B"/>
          <w:sz w:val="22"/>
          <w:szCs w:val="22"/>
        </w:rPr>
        <w:t xml:space="preserve">Sims v. Lewis</w:t>
      </w:r>
      <w:r>
        <w:rPr>
          <w:rFonts w:ascii="Calibri" w:cs="Calibri" w:eastAsia="Calibri" w:hAnsi="Calibri"/>
          <w:color w:val="2B2B2B"/>
          <w:sz w:val="22"/>
          <w:szCs w:val="22"/>
        </w:rPr>
        <w:t xml:space="preserve"> fixes damages at the diminution in the fair market value of the dwelling caused by the defect. Cost of repair is admissible as evidence of diminution but is not the exclusive measure. Where cost of repair is reasonable and not disproportionate to the diminution in value, Alabama courts follow the Restatement "economic-waste" principle and award cost of repair.</w:t>
      </w:r>
    </w:p>
    <w:p>
      <w:pPr>
        <w:pStyle w:val="Heading2"/>
        <w:keepNext/>
        <w:spacing w:after="120" w:before="260"/>
      </w:pPr>
      <w:r>
        <w:rPr>
          <w:rFonts w:ascii="Calibri" w:cs="Calibri" w:eastAsia="Calibri" w:hAnsi="Calibri"/>
          <w:b/>
          <w:bCs/>
          <w:color w:val="2B2B2B"/>
          <w:sz w:val="28"/>
          <w:szCs w:val="28"/>
        </w:rPr>
        <w:t xml:space="preserve">Express written warranty / breach of contract</w:t>
      </w:r>
    </w:p>
    <w:p>
      <w:pPr>
        <w:spacing w:after="80" w:before="80" w:line="300"/>
        <w:jc w:val="left"/>
      </w:pPr>
      <w:r>
        <w:rPr>
          <w:rFonts w:ascii="Calibri" w:cs="Calibri" w:eastAsia="Calibri" w:hAnsi="Calibri"/>
          <w:b w:val="false"/>
          <w:bCs w:val="false"/>
          <w:i w:val="false"/>
          <w:iCs w:val="false"/>
          <w:color w:val="2B2B2B"/>
          <w:sz w:val="22"/>
          <w:szCs w:val="22"/>
        </w:rPr>
        <w:t xml:space="preserve">Standard contract damages — benefit of the bargain. Cost of repair is recoverable where reasonable. Consequential damages are recoverable if they were foreseeable at contract formation (the Hadley v. Baxendale standard), unless validly excluded by the warranty or contract. Most builder limited warranties expressly exclude consequential damages, and Alabama courts enforce those exclusions absent unconscionability.</w:t>
      </w:r>
    </w:p>
    <w:p>
      <w:pPr>
        <w:pStyle w:val="Heading2"/>
        <w:keepNext/>
        <w:spacing w:after="120" w:before="260"/>
      </w:pPr>
      <w:r>
        <w:rPr>
          <w:rFonts w:ascii="Calibri" w:cs="Calibri" w:eastAsia="Calibri" w:hAnsi="Calibri"/>
          <w:b/>
          <w:bCs/>
          <w:color w:val="2B2B2B"/>
          <w:sz w:val="28"/>
          <w:szCs w:val="28"/>
        </w:rPr>
        <w:t xml:space="preserve">Attorney's fees</w:t>
      </w:r>
    </w:p>
    <w:p>
      <w:pPr>
        <w:spacing w:after="80" w:before="80" w:line="300"/>
        <w:jc w:val="left"/>
      </w:pPr>
      <w:r>
        <w:rPr>
          <w:rFonts w:ascii="Calibri" w:cs="Calibri" w:eastAsia="Calibri" w:hAnsi="Calibri"/>
          <w:b w:val="false"/>
          <w:bCs w:val="false"/>
          <w:i w:val="false"/>
          <w:iCs w:val="false"/>
          <w:color w:val="2B2B2B"/>
          <w:sz w:val="22"/>
          <w:szCs w:val="22"/>
        </w:rPr>
        <w:t xml:space="preserve">Alabama follows the American Rule. Attorney's fees are not recoverable unless authorized by contract or statute. Limited warranties rarely authorize fees to the homeowner. Some custom-build contracts include a prevailing-party clause, which works for either side.</w:t>
      </w:r>
    </w:p>
    <w:p>
      <w:pPr>
        <w:pStyle w:val="Heading2"/>
        <w:keepNext/>
        <w:spacing w:after="120" w:before="260"/>
      </w:pPr>
      <w:r>
        <w:rPr>
          <w:rFonts w:ascii="Calibri" w:cs="Calibri" w:eastAsia="Calibri" w:hAnsi="Calibri"/>
          <w:b/>
          <w:bCs/>
          <w:color w:val="2B2B2B"/>
          <w:sz w:val="28"/>
          <w:szCs w:val="28"/>
        </w:rPr>
        <w:t xml:space="preserve">Punitive damages</w:t>
      </w:r>
    </w:p>
    <w:p>
      <w:pPr>
        <w:spacing w:after="80" w:before="80" w:line="300"/>
        <w:jc w:val="left"/>
      </w:pPr>
      <w:r>
        <w:rPr>
          <w:rFonts w:ascii="Calibri" w:cs="Calibri" w:eastAsia="Calibri" w:hAnsi="Calibri"/>
          <w:b w:val="false"/>
          <w:bCs w:val="false"/>
          <w:i w:val="false"/>
          <w:iCs w:val="false"/>
          <w:color w:val="2B2B2B"/>
          <w:sz w:val="22"/>
          <w:szCs w:val="22"/>
        </w:rPr>
        <w:t xml:space="preserve">Available only on a separate tort claim — fraud, fraudulent suppression, or wanton conduct — not on a pure breach of warranty or contract claim. Alabama caps punitive damages under Ala. Code § 6-11-21, generally at the greater of three times compensatory damages or $1.5 million, with certain exceptions and adjustments for small businesses.</w:t>
      </w:r>
    </w:p>
    <w:p>
      <w:pPr>
        <w:pStyle w:val="Heading2"/>
        <w:keepNext/>
        <w:spacing w:after="120" w:before="260"/>
      </w:pPr>
      <w:r>
        <w:rPr>
          <w:rFonts w:ascii="Calibri" w:cs="Calibri" w:eastAsia="Calibri" w:hAnsi="Calibri"/>
          <w:b/>
          <w:bCs/>
          <w:color w:val="2B2B2B"/>
          <w:sz w:val="28"/>
          <w:szCs w:val="28"/>
        </w:rPr>
        <w:t xml:space="preserve">Alabama Deceptive Trade Practices Act</w:t>
      </w:r>
    </w:p>
    <w:p>
      <w:pPr>
        <w:spacing w:after="80" w:before="80" w:line="300"/>
        <w:jc w:val="left"/>
      </w:pPr>
      <w:r>
        <w:rPr>
          <w:rFonts w:ascii="Calibri" w:cs="Calibri" w:eastAsia="Calibri" w:hAnsi="Calibri"/>
          <w:b/>
          <w:bCs/>
          <w:i w:val="false"/>
          <w:iCs w:val="false"/>
          <w:color w:val="2B2B2B"/>
          <w:sz w:val="22"/>
          <w:szCs w:val="22"/>
        </w:rPr>
        <w:t xml:space="preserve">Ala. Code §§ 8-19-1 to 8-19-15. </w:t>
      </w:r>
      <w:r>
        <w:rPr>
          <w:rFonts w:ascii="Calibri" w:cs="Calibri" w:eastAsia="Calibri" w:hAnsi="Calibri"/>
          <w:color w:val="2B2B2B"/>
          <w:sz w:val="22"/>
          <w:szCs w:val="22"/>
        </w:rPr>
        <w:t xml:space="preserve">Section 8-19-10 provides a private right of action for actual damages or a $100 statutory minimum, whichever is greater, with the court's discretion to award up to three times actual damages depending on frequency, intent, and number of persons affected. Section 8-19-14 imposes a one-year limitations period from discovery and a four-year absolute repose (or one year from the end of the contract or warranty if that period is longer than three years). The ADTPA targets deceptive marketing and misrepresentation more than construction quality; counsel typically pleads it only when there is documented fraud or material misrepresentation by the builder.</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9. Recommended Sequencing</w:t>
      </w:r>
    </w:p>
    <w:p>
      <w:pPr>
        <w:spacing w:after="80" w:before="80" w:line="300"/>
        <w:jc w:val="left"/>
      </w:pPr>
      <w:r>
        <w:rPr>
          <w:rFonts w:ascii="Calibri" w:cs="Calibri" w:eastAsia="Calibri" w:hAnsi="Calibri"/>
          <w:b w:val="false"/>
          <w:bCs w:val="false"/>
          <w:i w:val="false"/>
          <w:iCs w:val="false"/>
          <w:color w:val="2B2B2B"/>
          <w:sz w:val="22"/>
          <w:szCs w:val="22"/>
        </w:rPr>
        <w:t xml:space="preserve">This is a general sequencing template, not a fixed timeline. Specific deadlines depend on the date of substantial completion, the date the homeowner first noticed the defect, the terms of the limited warranty, and any contractual notice provision.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rPr>
          <w:tblHeader/>
        </w:trPr>
        <w:tc>
          <w:tcPr>
            <w:tcW w:type="dxa" w:w="1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w:t>
            </w:r>
          </w:p>
        </w:tc>
        <w:tc>
          <w:tcPr>
            <w:tcW w:type="dxa" w:w="79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Action</w:t>
            </w:r>
          </w:p>
        </w:tc>
      </w:tr>
      <w:tr>
        <w:tc>
          <w:tcPr>
            <w:tcW w:type="dxa" w:w="1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0</w:t>
            </w:r>
          </w:p>
        </w:tc>
        <w:tc>
          <w:tcPr>
            <w:tcW w:type="dxa" w:w="7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Homeowner first notices defect. Photograph and date-stamp the condition. Save voicemails, texts, emails. Pull the closing package, the limited warranty book, and the builder contract from the file.</w:t>
            </w:r>
          </w:p>
        </w:tc>
      </w:tr>
      <w:tr>
        <w:tc>
          <w:tcPr>
            <w:tcW w:type="dxa" w:w="1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1–7</w:t>
            </w:r>
          </w:p>
        </w:tc>
        <w:tc>
          <w:tcPr>
            <w:tcW w:type="dxa" w:w="7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Written notice to the builder by certified mail and email. Use the language and the address required by the limited warranty's notice provision. Identify each defect, location, and date noticed.</w:t>
            </w:r>
          </w:p>
        </w:tc>
      </w:tr>
      <w:tr>
        <w:tc>
          <w:tcPr>
            <w:tcW w:type="dxa" w:w="1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7–30</w:t>
            </w:r>
          </w:p>
        </w:tc>
        <w:tc>
          <w:tcPr>
            <w:tcW w:type="dxa" w:w="7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Third-party inspection — licensed home inspector, structural engineer, or master-trade specialist depending on the defect type. Preserve original report, photographs, moisture-meter readings, and chain of custody.</w:t>
            </w:r>
          </w:p>
        </w:tc>
      </w:tr>
      <w:tr>
        <w:tc>
          <w:tcPr>
            <w:tcW w:type="dxa" w:w="1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30–60</w:t>
            </w:r>
          </w:p>
        </w:tc>
        <w:tc>
          <w:tcPr>
            <w:tcW w:type="dxa" w:w="7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Demand letter from counsel reciting the implied warranty (Cochran v. Keeton / Sims v. Lewis), the express limited warranty, and any negligence or fraud theory. Attach the inspection report. State a cure period — typically 30 days — and a dollar figure.</w:t>
            </w:r>
          </w:p>
        </w:tc>
      </w:tr>
      <w:tr>
        <w:tc>
          <w:tcPr>
            <w:tcW w:type="dxa" w:w="1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60–90</w:t>
            </w:r>
          </w:p>
        </w:tc>
        <w:tc>
          <w:tcPr>
            <w:tcW w:type="dxa" w:w="7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the builder does not cure: file a notarized complaint with the Home Builders Licensure Board; file a complaint with the Alabama Attorney General Consumer Interest Division and the local BBB; if applicable, file a code-enforcement complaint with the municipal Building Inspections Department.</w:t>
            </w:r>
          </w:p>
        </w:tc>
      </w:tr>
      <w:tr>
        <w:tc>
          <w:tcPr>
            <w:tcW w:type="dxa" w:w="1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Before filing suit</w:t>
            </w:r>
          </w:p>
        </w:tc>
        <w:tc>
          <w:tcPr>
            <w:tcW w:type="dxa" w:w="7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Confirm the two-year limitations clock under § 6-5-221 has not run from first discovery, and the seven-year statute of repose under § 6-5-218 / § 6-5-221 has not run from substantial completion. Confirm the express written warranty has not expired (different clock under § 6-5-227).</w:t>
            </w:r>
          </w:p>
        </w:tc>
      </w:tr>
      <w:tr>
        <w:tc>
          <w:tcPr>
            <w:tcW w:type="dxa" w:w="1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At filing</w:t>
            </w:r>
          </w:p>
        </w:tc>
        <w:tc>
          <w:tcPr>
            <w:tcW w:type="dxa" w:w="7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Within 10 days of filing the civil lawsuit, send certified-mail notice to the HBLB with a copy of the complaint, to preserve Recovery Fund eligibility. File in Circuit Court for claims exceeding $20,000.</w:t>
            </w:r>
          </w:p>
        </w:tc>
      </w:tr>
      <w:tr>
        <w:tc>
          <w:tcPr>
            <w:tcW w:type="dxa" w:w="1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After judgment</w:t>
            </w:r>
          </w:p>
        </w:tc>
        <w:tc>
          <w:tcPr>
            <w:tcW w:type="dxa" w:w="7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a non-consent judgment is obtained and the builder fails to pay, file a verified Recovery Fund claim in the rendering court with 30 days' written notice to the Board. Per-transaction cap $30,000; per-licensee aggregate $90,000.</w:t>
            </w:r>
          </w:p>
        </w:tc>
      </w:tr>
    </w:tbl>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10. Common Surprises and Misstatements</w:t>
      </w:r>
    </w:p>
    <w:p>
      <w:pPr>
        <w:pStyle w:val="ListParagraph"/>
        <w:numPr>
          <w:ilvl w:val="0"/>
          <w:numId w:val="3"/>
        </w:numPr>
        <w:spacing w:after="60" w:before="60" w:line="280"/>
      </w:pPr>
      <w:r>
        <w:rPr>
          <w:rFonts w:ascii="Calibri" w:cs="Calibri" w:eastAsia="Calibri" w:hAnsi="Calibri"/>
          <w:color w:val="2B2B2B"/>
          <w:sz w:val="22"/>
          <w:szCs w:val="22"/>
        </w:rPr>
        <w:t xml:space="preserve">Alabama has no statutory right-to-cure or right-to-repair act. National "by-state" summaries that list one are wrong.</w:t>
      </w:r>
    </w:p>
    <w:p>
      <w:pPr>
        <w:pStyle w:val="ListParagraph"/>
        <w:numPr>
          <w:ilvl w:val="0"/>
          <w:numId w:val="3"/>
        </w:numPr>
        <w:spacing w:after="60" w:before="60" w:line="280"/>
      </w:pPr>
      <w:r>
        <w:rPr>
          <w:rFonts w:ascii="Calibri" w:cs="Calibri" w:eastAsia="Calibri" w:hAnsi="Calibri"/>
          <w:color w:val="2B2B2B"/>
          <w:sz w:val="22"/>
          <w:szCs w:val="22"/>
        </w:rPr>
        <w:t xml:space="preserve">The implied warranty of habitability runs only to the original purchaser. Subsequent buyers must rely on negligence, fraud, or an assigned express warranty.</w:t>
      </w:r>
    </w:p>
    <w:p>
      <w:pPr>
        <w:pStyle w:val="ListParagraph"/>
        <w:numPr>
          <w:ilvl w:val="0"/>
          <w:numId w:val="3"/>
        </w:numPr>
        <w:spacing w:after="60" w:before="60" w:line="280"/>
      </w:pPr>
      <w:r>
        <w:rPr>
          <w:rFonts w:ascii="Calibri" w:cs="Calibri" w:eastAsia="Calibri" w:hAnsi="Calibri"/>
          <w:color w:val="2B2B2B"/>
          <w:sz w:val="22"/>
          <w:szCs w:val="22"/>
        </w:rPr>
        <w:t xml:space="preserve">Builder limited-warranty disclaimers are routinely enforced. Most production-builder closing packages strip out the Cochran/Sims implied warranty at the moment of closing.</w:t>
      </w:r>
    </w:p>
    <w:p>
      <w:pPr>
        <w:pStyle w:val="ListParagraph"/>
        <w:numPr>
          <w:ilvl w:val="0"/>
          <w:numId w:val="3"/>
        </w:numPr>
        <w:spacing w:after="60" w:before="60" w:line="280"/>
      </w:pPr>
      <w:r>
        <w:rPr>
          <w:rFonts w:ascii="Calibri" w:cs="Calibri" w:eastAsia="Calibri" w:hAnsi="Calibri"/>
          <w:color w:val="2B2B2B"/>
          <w:sz w:val="22"/>
          <w:szCs w:val="22"/>
        </w:rPr>
        <w:t xml:space="preserve">The seven-year statute of repose under § 6-5-218 / § 6-5-221 is an absolute bar for non-contract tort and statutory claims, even where the defect could not have been discovered earlier. The fraud / actual-knowledge exception in § 6-5-221 is narrow.</w:t>
      </w:r>
    </w:p>
    <w:p>
      <w:pPr>
        <w:pStyle w:val="ListParagraph"/>
        <w:numPr>
          <w:ilvl w:val="0"/>
          <w:numId w:val="3"/>
        </w:numPr>
        <w:spacing w:after="60" w:before="60" w:line="280"/>
      </w:pPr>
      <w:r>
        <w:rPr>
          <w:rFonts w:ascii="Calibri" w:cs="Calibri" w:eastAsia="Calibri" w:hAnsi="Calibri"/>
          <w:color w:val="2B2B2B"/>
          <w:sz w:val="22"/>
          <w:szCs w:val="22"/>
        </w:rPr>
        <w:t xml:space="preserve">A written express warranty can outlast the seven-year repose under § 6-5-227. A 10-year structural warranty remains enforceable in years 8–10, though the two-year limitations clock still runs from accrual.</w:t>
      </w:r>
    </w:p>
    <w:p>
      <w:pPr>
        <w:pStyle w:val="ListParagraph"/>
        <w:numPr>
          <w:ilvl w:val="0"/>
          <w:numId w:val="3"/>
        </w:numPr>
        <w:spacing w:after="60" w:before="60" w:line="280"/>
      </w:pPr>
      <w:r>
        <w:rPr>
          <w:rFonts w:ascii="Calibri" w:cs="Calibri" w:eastAsia="Calibri" w:hAnsi="Calibri"/>
          <w:color w:val="2B2B2B"/>
          <w:sz w:val="22"/>
          <w:szCs w:val="22"/>
        </w:rPr>
        <w:t xml:space="preserve">Recovery Fund caps are low — $30,000 per transaction, $90,000 per licensee — and recovery requires a non-consent judgment. The 10-day post-filing notice to the Board is easy to miss.</w:t>
      </w:r>
    </w:p>
    <w:p>
      <w:pPr>
        <w:pStyle w:val="ListParagraph"/>
        <w:numPr>
          <w:ilvl w:val="0"/>
          <w:numId w:val="3"/>
        </w:numPr>
        <w:spacing w:after="60" w:before="60" w:line="280"/>
      </w:pPr>
      <w:r>
        <w:rPr>
          <w:rFonts w:ascii="Calibri" w:cs="Calibri" w:eastAsia="Calibri" w:hAnsi="Calibri"/>
          <w:color w:val="2B2B2B"/>
          <w:sz w:val="22"/>
          <w:szCs w:val="22"/>
        </w:rPr>
        <w:t xml:space="preserve">Outside corporate limits in many Alabama counties, there is currently no permit or inspection regime. The 2027 statewide residential building code requirement (Acts 2024 No. 24-443) will change that, but until then the homeowner's leverage at the local code-enforcement level depends on geography.</w:t>
      </w:r>
    </w:p>
    <w:p>
      <w:pPr>
        <w:pStyle w:val="ListParagraph"/>
        <w:numPr>
          <w:ilvl w:val="0"/>
          <w:numId w:val="3"/>
        </w:numPr>
        <w:spacing w:after="60" w:before="60" w:line="280"/>
      </w:pPr>
      <w:r>
        <w:rPr>
          <w:rFonts w:ascii="Calibri" w:cs="Calibri" w:eastAsia="Calibri" w:hAnsi="Calibri"/>
          <w:color w:val="2B2B2B"/>
          <w:sz w:val="22"/>
          <w:szCs w:val="22"/>
        </w:rPr>
        <w:t xml:space="preserve">HBLB licensees must display the license number in advertising and contracts as of March 17, 2025. Missing license-number disclosure is a regulatory violation and is also useful screening evidence.</w:t>
      </w:r>
    </w:p>
    <w:p>
      <w:pPr>
        <w:pStyle w:val="ListParagraph"/>
        <w:numPr>
          <w:ilvl w:val="0"/>
          <w:numId w:val="3"/>
        </w:numPr>
        <w:spacing w:after="60" w:before="60" w:line="280"/>
      </w:pPr>
      <w:r>
        <w:rPr>
          <w:rFonts w:ascii="Calibri" w:cs="Calibri" w:eastAsia="Calibri" w:hAnsi="Calibri"/>
          <w:color w:val="2B2B2B"/>
          <w:sz w:val="22"/>
          <w:szCs w:val="22"/>
        </w:rPr>
        <w:t xml:space="preserve">The Alabama Deceptive Trade Practices Act is narrower than its name suggests. Its one-year and four-year clocks, and its focus on deceptive marketing rather than workmanship, make it a poor fit for most construction-defect claims unless paired with documented fraud.</w:t>
      </w:r>
    </w:p>
    <w:p>
      <w:pPr>
        <w:pStyle w:val="ListParagraph"/>
        <w:numPr>
          <w:ilvl w:val="0"/>
          <w:numId w:val="3"/>
        </w:numPr>
        <w:spacing w:after="60" w:before="60" w:line="280"/>
      </w:pPr>
      <w:r>
        <w:rPr>
          <w:rFonts w:ascii="Calibri" w:cs="Calibri" w:eastAsia="Calibri" w:hAnsi="Calibri"/>
          <w:color w:val="2B2B2B"/>
          <w:sz w:val="22"/>
          <w:szCs w:val="22"/>
        </w:rPr>
        <w:t xml:space="preserve">Cochran v. Keeton is a 1971 case, not 1973. The earlier date is often miscited in homeowner-facing materials.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11. Authority Index</w:t>
      </w:r>
    </w:p>
    <w:p>
      <w:pPr>
        <w:pStyle w:val="Heading2"/>
        <w:keepNext/>
        <w:spacing w:after="120" w:before="260"/>
      </w:pPr>
      <w:r>
        <w:rPr>
          <w:rFonts w:ascii="Calibri" w:cs="Calibri" w:eastAsia="Calibri" w:hAnsi="Calibri"/>
          <w:b/>
          <w:bCs/>
          <w:color w:val="2B2B2B"/>
          <w:sz w:val="28"/>
          <w:szCs w:val="28"/>
        </w:rPr>
        <w:t xml:space="preserve">Alabama statutes</w:t>
      </w:r>
    </w:p>
    <w:p>
      <w:pPr>
        <w:pStyle w:val="ListParagraph"/>
        <w:numPr>
          <w:ilvl w:val="0"/>
          <w:numId w:val="2"/>
        </w:numPr>
        <w:spacing w:after="40" w:before="40" w:line="280"/>
      </w:pPr>
      <w:r>
        <w:rPr>
          <w:rFonts w:ascii="Calibri" w:cs="Calibri" w:eastAsia="Calibri" w:hAnsi="Calibri"/>
          <w:color w:val="2B2B2B"/>
          <w:sz w:val="22"/>
          <w:szCs w:val="22"/>
        </w:rPr>
        <w:t xml:space="preserve">Ala. Code § 6-2-34 — six-year limitations for breach of written or simple contract.  </w:t>
      </w:r>
      <w:hyperlink w:history="1" r:id="rIdqidjqbzvcbdtvefjrhzka">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 6-5-218 — statute of repose for improvements to real property (7 years).  </w:t>
      </w:r>
      <w:hyperlink w:history="1" r:id="rIddj16isqf732luvhwids4l">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 6-5-220 — Article 13A definitions.  </w:t>
      </w:r>
      <w:hyperlink w:history="1" r:id="rIdde_corkcnwza2snsotwoi">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 6-5-221 — 2-year limitations / 7-year repose for architects, engineers, and builders; latent-defect discovery rule.  </w:t>
      </w:r>
      <w:hyperlink w:history="1" r:id="rIdfjch_7f-dpbkrrjyiw2mi">
        <w:r>
          <w:rPr>
            <w:rFonts w:ascii="Calibri" w:cs="Calibri" w:eastAsia="Calibri" w:hAnsi="Calibri"/>
            <w:color w:val="1F3A68"/>
            <w:sz w:val="22"/>
            <w:szCs w:val="22"/>
            <w:u w:val="single"/>
          </w:rPr>
          <w:t xml:space="preserve">FindLaw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 6-5-227 — written express warranty actions.  </w:t>
      </w:r>
      <w:hyperlink w:history="1" r:id="rIdos0bjivb1gy1_ijfex3mo">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 6-11-21 — cap on punitive damages.  </w:t>
      </w:r>
      <w:hyperlink w:history="1" r:id="rId4ynet9fjmhe7ayhfrfdgh">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 8-19-10 — Alabama Deceptive Trade Practices Act civil remedies.  </w:t>
      </w:r>
      <w:hyperlink w:history="1" r:id="rIdsn2sahlkcfn-lgy3l4v_t">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 8-19-14 — ADTPA limitations (1 year / 4 years).  </w:t>
      </w:r>
      <w:hyperlink w:history="1" r:id="rIdcnbz7ndszkycldgzh5tf5">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 12-11-30 — Circuit Court jurisdiction.  </w:t>
      </w:r>
      <w:hyperlink w:history="1" r:id="rIdsqfbuvjeqyfk7zd7x0zpc">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 12-12-30 — District Court civil jurisdiction ($20,000).  </w:t>
      </w:r>
      <w:hyperlink w:history="1" r:id="rId8tna_nvza1oah63tzzbwt">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 12-12-31 — Small Claims docket ($6,000).  </w:t>
      </w:r>
      <w:hyperlink w:history="1" r:id="rIdgz8dkda98kdceumb-vvxa">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Title 34, Chapter 14A — Home Builders Licensure Board.  </w:t>
      </w:r>
      <w:hyperlink w:history="1" r:id="rIdg_kn7ifavted4hcoclqfs">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Code § 34-14A-5 — license required where cost exceeds $10,000.  </w:t>
      </w:r>
      <w:hyperlink w:history="1" r:id="rId-1z-q1nv66xlyttvvtzst">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 Admin. Code Chapter 465-X-7 — Homeowners' Recovery Fund rules.  </w:t>
      </w:r>
      <w:hyperlink w:history="1" r:id="rId9nfrsixqg4vc2zdb8v2hb">
        <w:r>
          <w:rPr>
            <w:rFonts w:ascii="Calibri" w:cs="Calibri" w:eastAsia="Calibri" w:hAnsi="Calibri"/>
            <w:color w:val="1F3A68"/>
            <w:sz w:val="22"/>
            <w:szCs w:val="22"/>
            <w:u w:val="single"/>
          </w:rPr>
          <w:t xml:space="preserve">Alabama Admin. Code link</w:t>
        </w:r>
      </w:hyperlink>
    </w:p>
    <w:p>
      <w:pPr>
        <w:pStyle w:val="Heading2"/>
        <w:keepNext/>
        <w:spacing w:after="120" w:before="260"/>
      </w:pPr>
      <w:r>
        <w:rPr>
          <w:rFonts w:ascii="Calibri" w:cs="Calibri" w:eastAsia="Calibri" w:hAnsi="Calibri"/>
          <w:b/>
          <w:bCs/>
          <w:color w:val="2B2B2B"/>
          <w:sz w:val="28"/>
          <w:szCs w:val="28"/>
        </w:rPr>
        <w:t xml:space="preserve">Alabama case law</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Cochran v. Keeton</w:t>
      </w:r>
      <w:r>
        <w:rPr>
          <w:rFonts w:ascii="Calibri" w:cs="Calibri" w:eastAsia="Calibri" w:hAnsi="Calibri"/>
          <w:color w:val="2B2B2B"/>
          <w:sz w:val="22"/>
          <w:szCs w:val="22"/>
        </w:rPr>
        <w:t xml:space="preserve">, 252 So. 2d 313 (Ala. 1971) — adopts implied warranty for builder-vendor of new dwelling.  </w:t>
      </w:r>
      <w:hyperlink w:history="1" r:id="rIdbzbd0m23ahfb84oqrklbb">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Sims v. Lewis</w:t>
      </w:r>
      <w:r>
        <w:rPr>
          <w:rFonts w:ascii="Calibri" w:cs="Calibri" w:eastAsia="Calibri" w:hAnsi="Calibri"/>
          <w:color w:val="2B2B2B"/>
          <w:sz w:val="22"/>
          <w:szCs w:val="22"/>
        </w:rPr>
        <w:t xml:space="preserve">, 374 So. 2d 298 (Ala. 1979) — six elements of the implied warranty claim.  </w:t>
      </w:r>
      <w:hyperlink w:history="1" r:id="rId9mv-8u6p50q5aiusdjadw">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Hope v. Brannan</w:t>
      </w:r>
      <w:r>
        <w:rPr>
          <w:rFonts w:ascii="Calibri" w:cs="Calibri" w:eastAsia="Calibri" w:hAnsi="Calibri"/>
          <w:color w:val="2B2B2B"/>
          <w:sz w:val="22"/>
          <w:szCs w:val="22"/>
        </w:rPr>
        <w:t xml:space="preserve">, 557 So. 2d 1208 (Ala. 1989) — caveat emptor governs resale of used homes.  </w:t>
      </w:r>
      <w:hyperlink w:history="1" r:id="rId8uw2fw5ht0sqlmjunjgpc">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Turner v. Westhampton Court, LLC</w:t>
      </w:r>
      <w:r>
        <w:rPr>
          <w:rFonts w:ascii="Calibri" w:cs="Calibri" w:eastAsia="Calibri" w:hAnsi="Calibri"/>
          <w:color w:val="2B2B2B"/>
          <w:sz w:val="22"/>
          <w:szCs w:val="22"/>
        </w:rPr>
        <w:t xml:space="preserve">, 903 So. 2d 82 (Ala. 2004) — implied warranty can be disclaimed by clear written language.  </w:t>
      </w:r>
      <w:hyperlink w:history="1" r:id="rIdiu_qqelv5_unrwlus69yf">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Clay Kilgore Construction, Inc. v. Buchalter/Grant, L.L.C.</w:t>
      </w:r>
      <w:r>
        <w:rPr>
          <w:rFonts w:ascii="Calibri" w:cs="Calibri" w:eastAsia="Calibri" w:hAnsi="Calibri"/>
          <w:color w:val="2B2B2B"/>
          <w:sz w:val="22"/>
          <w:szCs w:val="22"/>
        </w:rPr>
        <w:t xml:space="preserve">, 949 So. 2d 893 (Ala. 2006) — implied warranty does not extend to unimproved land.  </w:t>
      </w:r>
      <w:hyperlink w:history="1" r:id="rIdnwnracptvwlttw2rjvo7y">
        <w:r>
          <w:rPr>
            <w:rFonts w:ascii="Calibri" w:cs="Calibri" w:eastAsia="Calibri" w:hAnsi="Calibri"/>
            <w:color w:val="1F3A68"/>
            <w:sz w:val="22"/>
            <w:szCs w:val="22"/>
            <w:u w:val="single"/>
          </w:rPr>
          <w:t xml:space="preserve">Justia link</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Stewart v. Bradley</w:t>
      </w:r>
      <w:r>
        <w:rPr>
          <w:rFonts w:ascii="Calibri" w:cs="Calibri" w:eastAsia="Calibri" w:hAnsi="Calibri"/>
          <w:color w:val="2B2B2B"/>
          <w:sz w:val="22"/>
          <w:szCs w:val="22"/>
        </w:rPr>
        <w:t xml:space="preserve">, 15 So. 3d 533 (Ala. Civ. App. 2008) — applied Turner; enforced disclaimer.  </w:t>
      </w:r>
      <w:hyperlink w:history="1" r:id="rIdescrptaqqzlixbyqqfc5n">
        <w:r>
          <w:rPr>
            <w:rFonts w:ascii="Calibri" w:cs="Calibri" w:eastAsia="Calibri" w:hAnsi="Calibri"/>
            <w:color w:val="1F3A68"/>
            <w:sz w:val="22"/>
            <w:szCs w:val="22"/>
            <w:u w:val="single"/>
          </w:rPr>
          <w:t xml:space="preserve">FindLaw link</w:t>
        </w:r>
      </w:hyperlink>
    </w:p>
    <w:p>
      <w:pPr>
        <w:pStyle w:val="Heading2"/>
        <w:keepNext/>
        <w:spacing w:after="120" w:before="260"/>
      </w:pPr>
      <w:r>
        <w:rPr>
          <w:rFonts w:ascii="Calibri" w:cs="Calibri" w:eastAsia="Calibri" w:hAnsi="Calibri"/>
          <w:b/>
          <w:bCs/>
          <w:color w:val="2B2B2B"/>
          <w:sz w:val="28"/>
          <w:szCs w:val="28"/>
        </w:rPr>
        <w:t xml:space="preserve">Agencies and regulatory resources</w:t>
      </w:r>
    </w:p>
    <w:p>
      <w:pPr>
        <w:pStyle w:val="ListParagraph"/>
        <w:numPr>
          <w:ilvl w:val="0"/>
          <w:numId w:val="2"/>
        </w:numPr>
        <w:spacing w:after="40" w:before="40" w:line="280"/>
      </w:pPr>
      <w:r>
        <w:rPr>
          <w:rFonts w:ascii="Calibri" w:cs="Calibri" w:eastAsia="Calibri" w:hAnsi="Calibri"/>
          <w:color w:val="2B2B2B"/>
          <w:sz w:val="22"/>
          <w:szCs w:val="22"/>
        </w:rPr>
        <w:t xml:space="preserve">Home Builders Licensure Board.  </w:t>
      </w:r>
      <w:hyperlink w:history="1" r:id="rIdnajx4r5zd3y5ohmkdtriw">
        <w:r>
          <w:rPr>
            <w:rFonts w:ascii="Calibri" w:cs="Calibri" w:eastAsia="Calibri" w:hAnsi="Calibri"/>
            <w:color w:val="1F3A68"/>
            <w:sz w:val="22"/>
            <w:szCs w:val="22"/>
            <w:u w:val="single"/>
          </w:rPr>
          <w:t xml:space="preserve">hblb.alabama.gov</w:t>
        </w:r>
      </w:hyperlink>
    </w:p>
    <w:p>
      <w:pPr>
        <w:pStyle w:val="ListParagraph"/>
        <w:numPr>
          <w:ilvl w:val="0"/>
          <w:numId w:val="2"/>
        </w:numPr>
        <w:spacing w:after="40" w:before="40" w:line="280"/>
      </w:pPr>
      <w:r>
        <w:rPr>
          <w:rFonts w:ascii="Calibri" w:cs="Calibri" w:eastAsia="Calibri" w:hAnsi="Calibri"/>
          <w:color w:val="2B2B2B"/>
          <w:sz w:val="22"/>
          <w:szCs w:val="22"/>
        </w:rPr>
        <w:t xml:space="preserve">HBLB Consumer Complaint Procedures.  </w:t>
      </w:r>
      <w:hyperlink w:history="1" r:id="rIdgpeqnkegr7eghzch4zduc">
        <w:r>
          <w:rPr>
            <w:rFonts w:ascii="Calibri" w:cs="Calibri" w:eastAsia="Calibri" w:hAnsi="Calibri"/>
            <w:color w:val="1F3A68"/>
            <w:sz w:val="22"/>
            <w:szCs w:val="22"/>
            <w:u w:val="single"/>
          </w:rPr>
          <w:t xml:space="preserve">Link</w:t>
        </w:r>
      </w:hyperlink>
    </w:p>
    <w:p>
      <w:pPr>
        <w:pStyle w:val="ListParagraph"/>
        <w:numPr>
          <w:ilvl w:val="0"/>
          <w:numId w:val="2"/>
        </w:numPr>
        <w:spacing w:after="40" w:before="40" w:line="280"/>
      </w:pPr>
      <w:r>
        <w:rPr>
          <w:rFonts w:ascii="Calibri" w:cs="Calibri" w:eastAsia="Calibri" w:hAnsi="Calibri"/>
          <w:color w:val="2B2B2B"/>
          <w:sz w:val="22"/>
          <w:szCs w:val="22"/>
        </w:rPr>
        <w:t xml:space="preserve">HBLB Homeowners' Recovery Fund FAQ.  </w:t>
      </w:r>
      <w:hyperlink w:history="1" r:id="rIdnfznwe0igfi3npizdjz8p">
        <w:r>
          <w:rPr>
            <w:rFonts w:ascii="Calibri" w:cs="Calibri" w:eastAsia="Calibri" w:hAnsi="Calibri"/>
            <w:color w:val="1F3A68"/>
            <w:sz w:val="22"/>
            <w:szCs w:val="22"/>
            <w:u w:val="single"/>
          </w:rPr>
          <w:t xml:space="preserve">Link</w:t>
        </w:r>
      </w:hyperlink>
    </w:p>
    <w:p>
      <w:pPr>
        <w:pStyle w:val="ListParagraph"/>
        <w:numPr>
          <w:ilvl w:val="0"/>
          <w:numId w:val="2"/>
        </w:numPr>
        <w:spacing w:after="40" w:before="40" w:line="280"/>
      </w:pPr>
      <w:r>
        <w:rPr>
          <w:rFonts w:ascii="Calibri" w:cs="Calibri" w:eastAsia="Calibri" w:hAnsi="Calibri"/>
          <w:color w:val="2B2B2B"/>
          <w:sz w:val="22"/>
          <w:szCs w:val="22"/>
        </w:rPr>
        <w:t xml:space="preserve">HBLB Recovery Fund — Consumer Information.  </w:t>
      </w:r>
      <w:hyperlink w:history="1" r:id="rIdtfva2dcqe_hds0zknpli4">
        <w:r>
          <w:rPr>
            <w:rFonts w:ascii="Calibri" w:cs="Calibri" w:eastAsia="Calibri" w:hAnsi="Calibri"/>
            <w:color w:val="1F3A68"/>
            <w:sz w:val="22"/>
            <w:szCs w:val="22"/>
            <w:u w:val="single"/>
          </w:rPr>
          <w:t xml:space="preserve">Link</w:t>
        </w:r>
      </w:hyperlink>
    </w:p>
    <w:p>
      <w:pPr>
        <w:pStyle w:val="ListParagraph"/>
        <w:numPr>
          <w:ilvl w:val="0"/>
          <w:numId w:val="2"/>
        </w:numPr>
        <w:spacing w:after="40" w:before="40" w:line="280"/>
      </w:pPr>
      <w:r>
        <w:rPr>
          <w:rFonts w:ascii="Calibri" w:cs="Calibri" w:eastAsia="Calibri" w:hAnsi="Calibri"/>
          <w:color w:val="2B2B2B"/>
          <w:sz w:val="22"/>
          <w:szCs w:val="22"/>
        </w:rPr>
        <w:t xml:space="preserve">HBLB 2025 Law Amendments overview.  </w:t>
      </w:r>
      <w:hyperlink w:history="1" r:id="rIdu9shfgcgewbswkvq5dbmv">
        <w:r>
          <w:rPr>
            <w:rFonts w:ascii="Calibri" w:cs="Calibri" w:eastAsia="Calibri" w:hAnsi="Calibri"/>
            <w:color w:val="1F3A68"/>
            <w:sz w:val="22"/>
            <w:szCs w:val="22"/>
            <w:u w:val="single"/>
          </w:rPr>
          <w:t xml:space="preserve">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Alabama Attorney General — Consumer Interest Division.  </w:t>
      </w:r>
      <w:hyperlink w:history="1" r:id="rIdmpxi9dx-vi1-zmlvsawyj">
        <w:r>
          <w:rPr>
            <w:rFonts w:ascii="Calibri" w:cs="Calibri" w:eastAsia="Calibri" w:hAnsi="Calibri"/>
            <w:color w:val="1F3A68"/>
            <w:sz w:val="22"/>
            <w:szCs w:val="22"/>
            <w:u w:val="single"/>
          </w:rPr>
          <w:t xml:space="preserve">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Alabama AG Consumer Complaint Form.  </w:t>
      </w:r>
      <w:hyperlink w:history="1" r:id="rIdp88tkfm8efk6od-pm8hlk">
        <w:r>
          <w:rPr>
            <w:rFonts w:ascii="Calibri" w:cs="Calibri" w:eastAsia="Calibri" w:hAnsi="Calibri"/>
            <w:color w:val="1F3A68"/>
            <w:sz w:val="22"/>
            <w:szCs w:val="22"/>
            <w:u w:val="single"/>
          </w:rPr>
          <w:t xml:space="preserve">Link</w:t>
        </w:r>
      </w:hyperlink>
    </w:p>
    <w:p>
      <w:pPr>
        <w:pStyle w:val="ListParagraph"/>
        <w:numPr>
          <w:ilvl w:val="0"/>
          <w:numId w:val="2"/>
        </w:numPr>
        <w:spacing w:after="40" w:before="40" w:line="280"/>
      </w:pPr>
      <w:r>
        <w:rPr>
          <w:rFonts w:ascii="Calibri" w:cs="Calibri" w:eastAsia="Calibri" w:hAnsi="Calibri"/>
          <w:color w:val="2B2B2B"/>
          <w:sz w:val="22"/>
          <w:szCs w:val="22"/>
        </w:rPr>
        <w:t xml:space="preserve">Alabama Manufactured Housing Commission.  </w:t>
      </w:r>
      <w:hyperlink w:history="1" r:id="rIdc9942g1rt0bmnu0h2g2r3">
        <w:r>
          <w:rPr>
            <w:rFonts w:ascii="Calibri" w:cs="Calibri" w:eastAsia="Calibri" w:hAnsi="Calibri"/>
            <w:color w:val="1F3A68"/>
            <w:sz w:val="22"/>
            <w:szCs w:val="22"/>
            <w:u w:val="single"/>
          </w:rPr>
          <w:t xml:space="preserve">amhc.alabama.gov</w:t>
        </w:r>
      </w:hyperlink>
    </w:p>
    <w:p>
      <w:pPr>
        <w:pStyle w:val="ListParagraph"/>
        <w:numPr>
          <w:ilvl w:val="0"/>
          <w:numId w:val="2"/>
        </w:numPr>
        <w:spacing w:after="40" w:before="40" w:line="280"/>
      </w:pPr>
      <w:r>
        <w:rPr>
          <w:rFonts w:ascii="Calibri" w:cs="Calibri" w:eastAsia="Calibri" w:hAnsi="Calibri"/>
          <w:color w:val="2B2B2B"/>
          <w:sz w:val="22"/>
          <w:szCs w:val="22"/>
        </w:rPr>
        <w:t xml:space="preserve">Home Builders Association of Alabama.  </w:t>
      </w:r>
      <w:hyperlink w:history="1" r:id="rIdvawpq9mc6w-arc_qxmgj_">
        <w:r>
          <w:rPr>
            <w:rFonts w:ascii="Calibri" w:cs="Calibri" w:eastAsia="Calibri" w:hAnsi="Calibri"/>
            <w:color w:val="1F3A68"/>
            <w:sz w:val="22"/>
            <w:szCs w:val="22"/>
            <w:u w:val="single"/>
          </w:rPr>
          <w:t xml:space="preserve">hbaa.org</w:t>
        </w:r>
      </w:hyperlink>
    </w:p>
    <w:p>
      <w:pPr>
        <w:pStyle w:val="ListParagraph"/>
        <w:numPr>
          <w:ilvl w:val="0"/>
          <w:numId w:val="2"/>
        </w:numPr>
        <w:spacing w:after="40" w:before="40" w:line="280"/>
      </w:pPr>
      <w:r>
        <w:rPr>
          <w:rFonts w:ascii="Calibri" w:cs="Calibri" w:eastAsia="Calibri" w:hAnsi="Calibri"/>
          <w:color w:val="2B2B2B"/>
          <w:sz w:val="22"/>
          <w:szCs w:val="22"/>
        </w:rPr>
        <w:t xml:space="preserve">Better Business Bureau.  </w:t>
      </w:r>
      <w:hyperlink w:history="1" r:id="rId_gekld0ips6cl-lvvei1k">
        <w:r>
          <w:rPr>
            <w:rFonts w:ascii="Calibri" w:cs="Calibri" w:eastAsia="Calibri" w:hAnsi="Calibri"/>
            <w:color w:val="1F3A68"/>
            <w:sz w:val="22"/>
            <w:szCs w:val="22"/>
            <w:u w:val="single"/>
          </w:rPr>
          <w:t xml:space="preserve">bbb.org</w:t>
        </w:r>
      </w:hyperlink>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12. Disclaimer</w:t>
      </w:r>
    </w:p>
    <w:p>
      <w:pPr>
        <w:spacing w:after="80" w:before="80" w:line="300"/>
        <w:jc w:val="left"/>
      </w:pPr>
      <w:r>
        <w:rPr>
          <w:rFonts w:ascii="Calibri" w:cs="Calibri" w:eastAsia="Calibri" w:hAnsi="Calibri"/>
          <w:b w:val="false"/>
          <w:bCs w:val="false"/>
          <w:i w:val="false"/>
          <w:iCs w:val="false"/>
          <w:color w:val="2B2B2B"/>
          <w:sz w:val="22"/>
          <w:szCs w:val="22"/>
        </w:rPr>
        <w:t xml:space="preserve">This document is general reference material. It is not legal advice. Reading this document does not create an attorney–client relationship. Statutes, case law, agency procedures, and dollar caps change over time. Before relying on any citation or procedure described here, the reader should verify it against current Alabama authority and consult a licensed Alabama attorney about the specific facts at issue. The 2024–2025 HBLB amendments and the January 1, 2027 statewide residential building code requirement are particularly worth re-checking before any client filing.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 General reference,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55555"/>
        <w:sz w:val="18"/>
        <w:szCs w:val="18"/>
      </w:rPr>
      <w:t xml:space="preserve">Alabama New Home Construction Warranty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2B2B2B"/>
      <w:sz w:val="36"/>
      <w:szCs w:val="36"/>
    </w:rPr>
  </w:style>
  <w:style w:type="paragraph" w:styleId="Heading2">
    <w:name w:val="Heading 2"/>
    <w:basedOn w:val="Normal"/>
    <w:next w:val="Normal"/>
    <w:qFormat/>
    <w:pPr>
      <w:spacing w:after="120" w:before="260"/>
      <w:outlineLvl w:val="1"/>
    </w:pPr>
    <w:rPr>
      <w:rFonts w:ascii="Calibri" w:cs="Calibri" w:eastAsia="Calibri" w:hAnsi="Calibri"/>
      <w:b/>
      <w:bCs/>
      <w:color w:val="2B2B2B"/>
      <w:sz w:val="28"/>
      <w:szCs w:val="28"/>
    </w:rPr>
  </w:style>
  <w:style w:type="paragraph" w:styleId="Heading3">
    <w:name w:val="Heading 3"/>
    <w:basedOn w:val="Normal"/>
    <w:next w:val="Normal"/>
    <w:qFormat/>
    <w:pPr>
      <w:spacing w:after="80" w:before="200"/>
      <w:outlineLvl w:val="2"/>
    </w:pPr>
    <w:rPr>
      <w:rFonts w:ascii="Calibri" w:cs="Calibri" w:eastAsia="Calibri" w:hAnsi="Calibri"/>
      <w:b/>
      <w:bCs/>
      <w:color w:val="3A3A3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j3p2chiha6mfa_0defugg" Type="http://schemas.openxmlformats.org/officeDocument/2006/relationships/hyperlink" Target="https://www.alabamaag.gov/consumer-complaint/" TargetMode="External"/><Relationship Id="rIdw5oazwoer4gexqgzkxdtf" Type="http://schemas.openxmlformats.org/officeDocument/2006/relationships/hyperlink" Target="https://amhc.alabama.gov/" TargetMode="External"/><Relationship Id="rId6pnsjxwwvrza0fju8ftux" Type="http://schemas.openxmlformats.org/officeDocument/2006/relationships/hyperlink" Target="https://hbaa.org/wp/" TargetMode="External"/><Relationship Id="rIdomlja4pcwuvvbakb_m2bx" Type="http://schemas.openxmlformats.org/officeDocument/2006/relationships/hyperlink" Target="https://www.bbb.org/" TargetMode="External"/><Relationship Id="rIdqidjqbzvcbdtvefjrhzka" Type="http://schemas.openxmlformats.org/officeDocument/2006/relationships/hyperlink" Target="https://law.justia.com/codes/alabama/title-6/chapter-2/article-2/section-6-2-34/" TargetMode="External"/><Relationship Id="rIddj16isqf732luvhwids4l" Type="http://schemas.openxmlformats.org/officeDocument/2006/relationships/hyperlink" Target="https://law.justia.com/codes/alabama/title-6/chapter-5/article-13/section-6-5-218/" TargetMode="External"/><Relationship Id="rIdde_corkcnwza2snsotwoi" Type="http://schemas.openxmlformats.org/officeDocument/2006/relationships/hyperlink" Target="https://law.justia.com/codes/alabama/title-6/chapter-5/article-13a/section-6-5-220/" TargetMode="External"/><Relationship Id="rIdfjch_7f-dpbkrrjyiw2mi" Type="http://schemas.openxmlformats.org/officeDocument/2006/relationships/hyperlink" Target="https://codes.findlaw.com/al/title-6-civil-practice/al-code-sect-6-5-221.html" TargetMode="External"/><Relationship Id="rIdos0bjivb1gy1_ijfex3mo" Type="http://schemas.openxmlformats.org/officeDocument/2006/relationships/hyperlink" Target="https://law.justia.com/codes/alabama/title-6/chapter-5/article-13a/section-6-5-227/" TargetMode="External"/><Relationship Id="rId4ynet9fjmhe7ayhfrfdgh" Type="http://schemas.openxmlformats.org/officeDocument/2006/relationships/hyperlink" Target="https://law.justia.com/codes/alabama/title-6/chapter-11/section-6-11-21/" TargetMode="External"/><Relationship Id="rIdsn2sahlkcfn-lgy3l4v_t" Type="http://schemas.openxmlformats.org/officeDocument/2006/relationships/hyperlink" Target="https://law.justia.com/codes/alabama/title-8/chapter-19/section-8-19-10/" TargetMode="External"/><Relationship Id="rIdcnbz7ndszkycldgzh5tf5" Type="http://schemas.openxmlformats.org/officeDocument/2006/relationships/hyperlink" Target="https://law.justia.com/codes/alabama/title-8/chapter-19/section-8-19-14/" TargetMode="External"/><Relationship Id="rIdsqfbuvjeqyfk7zd7x0zpc" Type="http://schemas.openxmlformats.org/officeDocument/2006/relationships/hyperlink" Target="https://law.justia.com/codes/alabama/title-12/chapter-11/article-2/section-12-11-30/" TargetMode="External"/><Relationship Id="rId8tna_nvza1oah63tzzbwt" Type="http://schemas.openxmlformats.org/officeDocument/2006/relationships/hyperlink" Target="https://law.justia.com/codes/alabama/title-12/chapter-12/article-2/section-12-12-30/" TargetMode="External"/><Relationship Id="rIdgz8dkda98kdceumb-vvxa" Type="http://schemas.openxmlformats.org/officeDocument/2006/relationships/hyperlink" Target="https://law.justia.com/codes/alabama/title-12/chapter-12/article-2/section-12-12-31/" TargetMode="External"/><Relationship Id="rIdg_kn7ifavted4hcoclqfs" Type="http://schemas.openxmlformats.org/officeDocument/2006/relationships/hyperlink" Target="https://law.justia.com/codes/alabama/title-34/chapter-14a/article-1/" TargetMode="External"/><Relationship Id="rId-1z-q1nv66xlyttvvtzst" Type="http://schemas.openxmlformats.org/officeDocument/2006/relationships/hyperlink" Target="https://law.justia.com/codes/alabama/title-34/chapter-14a/article-1/section-34-14a-5/" TargetMode="External"/><Relationship Id="rId9nfrsixqg4vc2zdb8v2hb" Type="http://schemas.openxmlformats.org/officeDocument/2006/relationships/hyperlink" Target="https://admincode.legislature.state.al.us/api/chapter/465-X-7" TargetMode="External"/><Relationship Id="rIdbzbd0m23ahfb84oqrklbb" Type="http://schemas.openxmlformats.org/officeDocument/2006/relationships/hyperlink" Target="https://law.justia.com/cases/alabama/supreme-court/1971/252-so-2d-313-1.html" TargetMode="External"/><Relationship Id="rId9mv-8u6p50q5aiusdjadw" Type="http://schemas.openxmlformats.org/officeDocument/2006/relationships/hyperlink" Target="https://law.justia.com/cases/alabama/supreme-court/1979/374-so-2d-298-1.html" TargetMode="External"/><Relationship Id="rId8uw2fw5ht0sqlmjunjgpc" Type="http://schemas.openxmlformats.org/officeDocument/2006/relationships/hyperlink" Target="https://law.justia.com/cases/alabama/supreme-court/1989/557-so-2d-1208-1.html" TargetMode="External"/><Relationship Id="rIdiu_qqelv5_unrwlus69yf" Type="http://schemas.openxmlformats.org/officeDocument/2006/relationships/hyperlink" Target="https://law.justia.com/cases/alabama/supreme-court/2004/1030423-4.html" TargetMode="External"/><Relationship Id="rIdnwnracptvwlttw2rjvo7y" Type="http://schemas.openxmlformats.org/officeDocument/2006/relationships/hyperlink" Target="https://law.justia.com/cases/alabama/supreme-court/2006/1031086-5.html" TargetMode="External"/><Relationship Id="rIdescrptaqqzlixbyqqfc5n" Type="http://schemas.openxmlformats.org/officeDocument/2006/relationships/hyperlink" Target="https://caselaw.findlaw.com/court/al-court-of-civil-appeals/1041762.html" TargetMode="External"/><Relationship Id="rIdnajx4r5zd3y5ohmkdtriw" Type="http://schemas.openxmlformats.org/officeDocument/2006/relationships/hyperlink" Target="https://hblb.alabama.gov/" TargetMode="External"/><Relationship Id="rIdgpeqnkegr7eghzch4zduc" Type="http://schemas.openxmlformats.org/officeDocument/2006/relationships/hyperlink" Target="https://hblb.alabama.gov/consumer-complaint-procedures/" TargetMode="External"/><Relationship Id="rIdnfznwe0igfi3npizdjz8p" Type="http://schemas.openxmlformats.org/officeDocument/2006/relationships/hyperlink" Target="https://hblb.alabama.gov/faq/%C2%A7-34-14a-15-recovery-fund/" TargetMode="External"/><Relationship Id="rIdtfva2dcqe_hds0zknpli4" Type="http://schemas.openxmlformats.org/officeDocument/2006/relationships/hyperlink" Target="https://hblb.alabama.gov/consumers/recovery-fund/" TargetMode="External"/><Relationship Id="rIdu9shfgcgewbswkvq5dbmv" Type="http://schemas.openxmlformats.org/officeDocument/2006/relationships/hyperlink" Target="https://hblb.alabama.gov/changes-to-statutory-regulations-become-effective-march-17-2025/" TargetMode="External"/><Relationship Id="rIdmpxi9dx-vi1-zmlvsawyj" Type="http://schemas.openxmlformats.org/officeDocument/2006/relationships/hyperlink" Target="https://www.alabamaag.gov/divisions/consumer-interest-division/" TargetMode="External"/><Relationship Id="rIdp88tkfm8efk6od-pm8hlk" Type="http://schemas.openxmlformats.org/officeDocument/2006/relationships/hyperlink" Target="https://www.alabamaag.gov/consumer-complaint/" TargetMode="External"/><Relationship Id="rIdc9942g1rt0bmnu0h2g2r3" Type="http://schemas.openxmlformats.org/officeDocument/2006/relationships/hyperlink" Target="https://amhc.alabama.gov/" TargetMode="External"/><Relationship Id="rIdvawpq9mc6w-arc_qxmgj_" Type="http://schemas.openxmlformats.org/officeDocument/2006/relationships/hyperlink" Target="https://hbaa.org/wp/" TargetMode="External"/><Relationship Id="rId_gekld0ips6cl-lvvei1k" Type="http://schemas.openxmlformats.org/officeDocument/2006/relationships/hyperlink" Target="https://www.bbb.org/" TargetMode="External"/><Relationship Id="rId4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New Home Construction Warranty Reference</dc:title>
  <dc:creator>New Build Warranty Reference</dc:creator>
  <cp:lastModifiedBy>Un-named</cp:lastModifiedBy>
  <cp:revision>1</cp:revision>
  <dcterms:created xsi:type="dcterms:W3CDTF">2026-05-21T14:17:09.828Z</dcterms:created>
  <dcterms:modified xsi:type="dcterms:W3CDTF">2026-05-21T14:17:09.828Z</dcterms:modified>
</cp:coreProperties>
</file>

<file path=docProps/custom.xml><?xml version="1.0" encoding="utf-8"?>
<Properties xmlns="http://schemas.openxmlformats.org/officeDocument/2006/custom-properties" xmlns:vt="http://schemas.openxmlformats.org/officeDocument/2006/docPropsVTypes"/>
</file>