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FLORIDA</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Florida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Florida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issuance of Temporary CO (TCO):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issuance of Certificate of Occupancy (CO):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Certificate of Completion (CC):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abandonment of construction (if applicable):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Earliest triggering date (used for § 95.11(3)(c) clocks):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closing: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each defect (see Defect Inventory):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DBPR/CILB license number (Division I or II):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License number displayed on contract per § 489.119(5) (yes / no):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Builder mailing address (for § 558.004 notice):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Construction contract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Pre- or post- July 1, 2024 contract (controls Recovery Fund caps):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Third-party warranty company (RWC, 2-10 Home Buyers Warranty, QBW, other):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Warranty term — workmanship: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systems: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 DBPR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Plumbing — DBPR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Electrical — DBPR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 DBPR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EIFS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(RWC, 2-10 Home Buyers Warranty, QBW, builder's own form)</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builder's Chapter 558 disclosure under § 558.005</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Temporary Certificate of Occupancy (TCO) — request from local Building Department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 (CO)</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Completion (CC) — if no TCO/CO</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Termite and soil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DBPR/CILB, AG, BBB, or local-code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 558 / FDUTPA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 558 / FDUTPA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 558 / FDUTPA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 558 / FDUTPA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 558 / FDUTPA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(general home,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Florida license / PE number / DBPR license: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558.004 60-day pre-suit notice (120 days for association &gt; 20 parcels)</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DBPR / CILB complaint (Construction Industry Licensing Board)</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Homeowners' Construction Recovery Fund claim (§ 489.140)</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Florida Attorney General — Consumer Protection (FDUTPA)</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Department / code enforcement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Florida HBA local chapter mediation</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(Small Claims / County / Circuit)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Proposal for Settlement / Offer of Judgment (§ 768.79)</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at no cost under § 558.004(5)(a)</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cost of repair</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Cash payment representing diminution in fair market value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Refund / rescission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FDUTPA actual damages plus attorney's fees under § 501.2105</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Homeowners' Construction Recovery Fund payment after final judgment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DBPR license discipline (reprimand, fine, probation, suspension, revocation)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corresponding statutory or contractual clocks. The earliest-expiring clock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558.004 — 60-day pre-suit notice (120 days for association &gt; 20 parcels)</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Builder's 30-day inspection / response window (50 days for association)</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Construction-defect limitations — 4 years from latent-defect discovery (§ 95.11(3)(c))</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Construction-defect repose — 7 years from earliest of TCO / CO / CC / abandonment (post-SB 360)</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Written contract — 5 years from breach (§ 95.11(2)(b))</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General negligence — 2 years from accrual (§ 95.11(4)(a), post-HB 837)</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FDUTPA — 4 years from violation (§ 95.11(3)(f))</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Recovery Fund — 1 year from conclusion of all proceedings (incl. appeals)</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 558.004 notice, demand letter, complaint, or lawsuit is filed, the information collected here should be reviewed by a licensed Florida attorney. Statutory deadlines (particularly the post-SB 360 seven-year repose under § 95.11(3)(c)) and Recovery Fund caps (which doubled effective January 1, 2025 for contracts signed on or after July 1, 2024) should be confirmed against current authority. See the companion Florida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Florida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Builder Defect Walkthrough Intake Form</dc:title>
  <dc:creator>New Build Warranty Reference</dc:creator>
  <cp:lastModifiedBy>Un-named</cp:lastModifiedBy>
  <cp:revision>1</cp:revision>
  <dcterms:created xsi:type="dcterms:W3CDTF">2026-05-21T21:24:30.527Z</dcterms:created>
  <dcterms:modified xsi:type="dcterms:W3CDTF">2026-05-21T21:24:30.527Z</dcterms:modified>
</cp:coreProperties>
</file>

<file path=docProps/custom.xml><?xml version="1.0" encoding="utf-8"?>
<Properties xmlns="http://schemas.openxmlformats.org/officeDocument/2006/custom-properties" xmlns:vt="http://schemas.openxmlformats.org/officeDocument/2006/docPropsVTypes"/>
</file>