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1F2937" w:sz="6"/>
              <w:left w:val="single" w:color="1F2937" w:sz="6"/>
              <w:bottom w:val="single" w:color="1F2937" w:sz="6"/>
              <w:right w:val="single" w:color="1F2937" w:sz="6"/>
            </w:tcBorders>
            <w:shd w:fill="1F2937" w:val="clear"/>
            <w:tcMar>
              <w:top w:type="dxa" w:w="320"/>
              <w:left w:type="dxa" w:w="320"/>
              <w:bottom w:type="dxa" w:w="320"/>
              <w:right w:type="dxa" w:w="320"/>
            </w:tcMar>
          </w:tcPr>
          <w:p>
            <w:pPr>
              <w:jc w:val="left"/>
            </w:pPr>
            <w:r>
              <w:rPr>
                <w:rFonts w:ascii="Calibri" w:cs="Calibri" w:eastAsia="Calibri" w:hAnsi="Calibri"/>
                <w:b/>
                <w:bCs/>
                <w:color w:val="FFFFFF"/>
                <w:sz w:val="34"/>
                <w:szCs w:val="34"/>
              </w:rPr>
              <w:t xml:space="preserve">Builder Defect Walkthrough Intake Form</w:t>
            </w:r>
          </w:p>
          <w:p>
            <w:pPr>
              <w:spacing w:before="80"/>
              <w:jc w:val="left"/>
            </w:pPr>
            <w:r>
              <w:rPr>
                <w:rFonts w:ascii="Calibri" w:cs="Calibri" w:eastAsia="Calibri" w:hAnsi="Calibri"/>
                <w:i/>
                <w:iCs/>
                <w:color w:val="F3F4F6"/>
                <w:sz w:val="22"/>
                <w:szCs w:val="22"/>
              </w:rPr>
              <w:t xml:space="preserve">Minnesota — Original Buyer Statutory Warranty Claim (Minn. Stat. Ch. 327A)</w:t>
            </w:r>
          </w:p>
        </w:tc>
      </w:tr>
    </w:tbl>
    <w:p>
      <w:pPr>
        <w:spacing w:after="20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B5563" w:sz="6"/>
              <w:left w:val="single" w:color="4B5563" w:sz="6"/>
              <w:bottom w:val="single" w:color="4B5563" w:sz="6"/>
              <w:right w:val="single" w:color="4B5563" w:sz="6"/>
            </w:tcBorders>
            <w:shd w:fill="F3F4F6" w:val="clear"/>
            <w:tcMar>
              <w:top w:type="dxa" w:w="200"/>
              <w:left w:type="dxa" w:w="240"/>
              <w:bottom w:type="dxa" w:w="200"/>
              <w:right w:type="dxa" w:w="240"/>
            </w:tcMar>
          </w:tcPr>
          <w:p>
            <w:pPr>
              <w:spacing w:after="80"/>
            </w:pPr>
            <w:r>
              <w:rPr>
                <w:rFonts w:ascii="Calibri" w:cs="Calibri" w:eastAsia="Calibri" w:hAnsi="Calibri"/>
                <w:b/>
                <w:bCs/>
                <w:color w:val="1F2937"/>
                <w:sz w:val="22"/>
                <w:szCs w:val="22"/>
              </w:rPr>
              <w:t xml:space="preserve">How to use this form</w:t>
            </w:r>
          </w:p>
          <w:p>
            <w:pPr>
              <w:spacing w:after="60"/>
            </w:pPr>
            <w:r>
              <w:rPr>
                <w:rFonts w:ascii="Calibri" w:cs="Calibri" w:eastAsia="Calibri" w:hAnsi="Calibri"/>
                <w:color w:val="111827"/>
                <w:sz w:val="21"/>
                <w:szCs w:val="21"/>
              </w:rPr>
              <w:t xml:space="preserve">1.  Walk the home room by room. Do not skip exterior, garage, attic, crawlspace, mechanical room, and utility connections.</w:t>
            </w:r>
          </w:p>
          <w:p>
            <w:pPr>
              <w:spacing w:after="60"/>
            </w:pPr>
            <w:r>
              <w:rPr>
                <w:rFonts w:ascii="Calibri" w:cs="Calibri" w:eastAsia="Calibri" w:hAnsi="Calibri"/>
                <w:color w:val="111827"/>
                <w:sz w:val="21"/>
                <w:szCs w:val="21"/>
              </w:rPr>
              <w:t xml:space="preserve">2.  Photograph every issue with the same phone or camera so timestamps are consistent. Take wide, medium, and close-up shots of each defect.</w:t>
            </w:r>
          </w:p>
          <w:p>
            <w:pPr>
              <w:spacing w:after="60"/>
            </w:pPr>
            <w:r>
              <w:rPr>
                <w:rFonts w:ascii="Calibri" w:cs="Calibri" w:eastAsia="Calibri" w:hAnsi="Calibri"/>
                <w:color w:val="111827"/>
                <w:sz w:val="21"/>
                <w:szCs w:val="21"/>
              </w:rPr>
              <w:t xml:space="preserve">3.  Fill in one Defect Entry per distinct issue. For EACH defect, record the date first noticed — that date starts the 6-month written-notice clock under Minn. Stat. § 327A.03(a).</w:t>
            </w:r>
          </w:p>
          <w:p>
            <w:pPr>
              <w:spacing w:after="60"/>
            </w:pPr>
            <w:r>
              <w:rPr>
                <w:rFonts w:ascii="Calibri" w:cs="Calibri" w:eastAsia="Calibri" w:hAnsi="Calibri"/>
                <w:color w:val="111827"/>
                <w:sz w:val="21"/>
                <w:szCs w:val="21"/>
              </w:rPr>
              <w:t xml:space="preserve">4.  Identify the WARRANTY DATE (earlier of first occupancy or title transfer) before anything else — it controls the 1/2/10-year clocks.</w:t>
            </w:r>
          </w:p>
          <w:p>
            <w:pPr>
              <w:spacing w:after="60"/>
            </w:pPr>
            <w:r>
              <w:rPr>
                <w:rFonts w:ascii="Calibri" w:cs="Calibri" w:eastAsia="Calibri" w:hAnsi="Calibri"/>
                <w:color w:val="111827"/>
                <w:sz w:val="21"/>
                <w:szCs w:val="21"/>
              </w:rPr>
              <w:t xml:space="preserve">5.  Note every prior communication with the builder in the Communications Log. Verbal-only complaints likely DO NOT satisfy the statutory notice requirement.</w:t>
            </w:r>
          </w:p>
          <w:p>
            <w:pPr>
              <w:spacing w:after="60"/>
            </w:pPr>
            <w:r>
              <w:rPr>
                <w:rFonts w:ascii="Calibri" w:cs="Calibri" w:eastAsia="Calibri" w:hAnsi="Calibri"/>
                <w:color w:val="111827"/>
                <w:sz w:val="21"/>
                <w:szCs w:val="21"/>
              </w:rPr>
              <w:t xml:space="preserve">6.  Once complete, hand this form, the photo files, and any inspection reports to the homeowner's attorney.</w:t>
            </w:r>
          </w:p>
        </w:tc>
      </w:tr>
    </w:tbl>
    <w:p>
      <w:pPr>
        <w:spacing w:after="20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B5563" w:sz="6"/>
              <w:left w:val="single" w:color="4B5563" w:sz="6"/>
              <w:bottom w:val="single" w:color="4B5563" w:sz="6"/>
              <w:right w:val="single" w:color="4B5563" w:sz="6"/>
            </w:tcBorders>
            <w:shd w:fill="F3F4F6" w:val="clear"/>
            <w:tcMar>
              <w:top w:type="dxa" w:w="200"/>
              <w:left w:type="dxa" w:w="240"/>
              <w:bottom w:type="dxa" w:w="200"/>
              <w:right w:type="dxa" w:w="240"/>
            </w:tcMar>
          </w:tcPr>
          <w:p>
            <w:pPr>
              <w:spacing w:after="80"/>
            </w:pPr>
            <w:r>
              <w:rPr>
                <w:rFonts w:ascii="Calibri" w:cs="Calibri" w:eastAsia="Calibri" w:hAnsi="Calibri"/>
                <w:b/>
                <w:bCs/>
                <w:color w:val="1F2937"/>
                <w:sz w:val="22"/>
                <w:szCs w:val="22"/>
              </w:rPr>
              <w:t xml:space="preserve">Critical Minnesota deadlines to flag for the homeowner</w:t>
            </w:r>
          </w:p>
          <w:p>
            <w:pPr>
              <w:spacing w:after="60"/>
            </w:pPr>
            <w:r>
              <w:rPr>
                <w:rFonts w:ascii="Calibri" w:cs="Calibri" w:eastAsia="Calibri" w:hAnsi="Calibri"/>
                <w:color w:val="111827"/>
                <w:sz w:val="21"/>
                <w:szCs w:val="21"/>
              </w:rPr>
              <w:t xml:space="preserve">Written notice: within 6 MONTHS of discovering each defect (Minn. Stat. § 327A.03(a)). Late notice can bar the claim.</w:t>
            </w:r>
          </w:p>
          <w:p>
            <w:pPr>
              <w:spacing w:after="60"/>
            </w:pPr>
            <w:r>
              <w:rPr>
                <w:rFonts w:ascii="Calibri" w:cs="Calibri" w:eastAsia="Calibri" w:hAnsi="Calibri"/>
                <w:color w:val="111827"/>
                <w:sz w:val="21"/>
                <w:szCs w:val="21"/>
              </w:rPr>
              <w:t xml:space="preserve">Builder inspection: 30 days after notice.</w:t>
            </w:r>
          </w:p>
          <w:p>
            <w:pPr>
              <w:spacing w:after="60"/>
            </w:pPr>
            <w:r>
              <w:rPr>
                <w:rFonts w:ascii="Calibri" w:cs="Calibri" w:eastAsia="Calibri" w:hAnsi="Calibri"/>
                <w:color w:val="111827"/>
                <w:sz w:val="21"/>
                <w:szCs w:val="21"/>
              </w:rPr>
              <w:t xml:space="preserve">Builder repair offer: 15 days after inspection.</w:t>
            </w:r>
          </w:p>
          <w:p>
            <w:pPr>
              <w:spacing w:after="60"/>
            </w:pPr>
            <w:r>
              <w:rPr>
                <w:rFonts w:ascii="Calibri" w:cs="Calibri" w:eastAsia="Calibri" w:hAnsi="Calibri"/>
                <w:color w:val="111827"/>
                <w:sz w:val="21"/>
                <w:szCs w:val="21"/>
              </w:rPr>
              <w:t xml:space="preserve">Lawsuit: within 2 YEARS of discovery (Minn. Stat. § 541.051 subd. 4).</w:t>
            </w:r>
          </w:p>
          <w:p>
            <w:pPr>
              <w:spacing w:after="60"/>
            </w:pPr>
            <w:r>
              <w:rPr>
                <w:rFonts w:ascii="Calibri" w:cs="Calibri" w:eastAsia="Calibri" w:hAnsi="Calibri"/>
                <w:color w:val="111827"/>
                <w:sz w:val="21"/>
                <w:szCs w:val="21"/>
              </w:rPr>
              <w:t xml:space="preserve">Outer bar: 10 YEARS from substantial completion (statute of repose).</w:t>
            </w:r>
          </w:p>
        </w:tc>
      </w:tr>
    </w:tbl>
    <w:p>
      <w:pPr>
        <w:spacing w:after="200"/>
      </w:pPr>
      <w:r>
        <w:t xml:space="preserve"> </w:t>
      </w:r>
    </w:p>
    <w:p>
      <w:pPr>
        <w:pStyle w:val="Heading1"/>
        <w:spacing w:after="200" w:before="360"/>
      </w:pPr>
      <w:r>
        <w:rPr>
          <w:rFonts w:ascii="Calibri" w:cs="Calibri" w:eastAsia="Calibri" w:hAnsi="Calibri"/>
          <w:b/>
          <w:bCs/>
          <w:color w:val="1F2937"/>
          <w:sz w:val="32"/>
          <w:szCs w:val="32"/>
        </w:rPr>
        <w:t xml:space="preserve">Homeowner &amp; Property Information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Homeowner Name(s)</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Mailing Address</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Phone</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Email</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Preferred Communication (text / email / video relay / interpreter)</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Property Address (subject home)</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County</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Date of Closing / Title Transfer</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Date of First Occupancy / Move-In</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WARRANTY DATE (earlier of the two above)</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Initial vendee or subsequent purchaser?</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Purchase Price</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Lender (if any)</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pStyle w:val="Heading1"/>
        <w:spacing w:after="200" w:before="360"/>
      </w:pPr>
      <w:r>
        <w:rPr>
          <w:rFonts w:ascii="Calibri" w:cs="Calibri" w:eastAsia="Calibri" w:hAnsi="Calibri"/>
          <w:b/>
          <w:bCs/>
          <w:color w:val="1F2937"/>
          <w:sz w:val="32"/>
          <w:szCs w:val="32"/>
        </w:rPr>
        <w:t xml:space="preserve">Builder &amp; Contractor Information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Builder / Vendor Company Name</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Builder Owner / Principal Name</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Builder Address</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Builder Phone / Email</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DLI Residential Building Contractor License # (verify on dli.mn.gov/license-and-registration-lookup)</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License status (Issued / Suspended / Revoked / Expired)</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Did the builder provide ANY written warranty or warranty booklet?</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Was a statutory-warranty disclaimer signed (boldface 10-pt with substitute warranty)?</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Known Subcontractors (HVAC, plumbing, electrical, framing, roofing, etc.)</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Building permit municipality / Permit #</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Local building inspector / department</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pStyle w:val="Heading1"/>
        <w:spacing w:after="200" w:before="360"/>
      </w:pPr>
      <w:r>
        <w:rPr>
          <w:rFonts w:ascii="Calibri" w:cs="Calibri" w:eastAsia="Calibri" w:hAnsi="Calibri"/>
          <w:b/>
          <w:bCs/>
          <w:color w:val="1F2937"/>
          <w:sz w:val="32"/>
          <w:szCs w:val="32"/>
        </w:rPr>
        <w:t xml:space="preserve">Documents the Homeowner Has on Hand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Signed purchase agreement / construction contract</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Closing disclosure / Settlement Statement</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Certificate of Occupancy</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Plans, specs, or marketing brochures</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Change orders or selection sheets</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Punch list / pre-closing walk-through list</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Any written warranty document — statutory disclaimer or substitute warranty</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Inspection reports (pre-purchase or post-occupancy)</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Photographs and video already taken</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Texts, emails, voicemails with the builder</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Receipts for any repair attempts the homeowner has paid for</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Any prior § 327A.03(a) written notice already sent (preserve certified-mail green card)</w:t>
      </w:r>
    </w:p>
    <w:p>
      <w:r>
        <w:br w:type="page"/>
      </w:r>
    </w:p>
    <w:p>
      <w:pPr>
        <w:pStyle w:val="Heading1"/>
        <w:spacing w:after="200" w:before="360"/>
      </w:pPr>
      <w:r>
        <w:rPr>
          <w:rFonts w:ascii="Calibri" w:cs="Calibri" w:eastAsia="Calibri" w:hAnsi="Calibri"/>
          <w:b/>
          <w:bCs/>
          <w:color w:val="1F2937"/>
          <w:sz w:val="32"/>
          <w:szCs w:val="32"/>
        </w:rPr>
        <w:t xml:space="preserve">Defect Log</w:t>
      </w:r>
    </w:p>
    <w:p>
      <w:pPr>
        <w:spacing w:after="120"/>
        <w:jc w:val="left"/>
      </w:pPr>
      <w:r>
        <w:rPr>
          <w:rFonts w:ascii="Calibri" w:cs="Calibri" w:eastAsia="Calibri" w:hAnsi="Calibri"/>
          <w:b w:val="false"/>
          <w:bCs w:val="false"/>
          <w:i/>
          <w:iCs/>
          <w:color w:val="6B7280"/>
          <w:sz w:val="22"/>
          <w:szCs w:val="22"/>
        </w:rPr>
        <w:t xml:space="preserve">Fill in one entry per distinct issue. For each, identify the date the homeowner first noticed the defect (this is what starts the 6-month notice clock under § 327A.03(a)). Identify the statutory warranty tier that applies.</w:t>
      </w:r>
    </w:p>
    <w:p>
      <w:pPr>
        <w:shd w:fill="1F2937" w:val="clear"/>
        <w:spacing w:after="100" w:before="240"/>
      </w:pPr>
      <w:r>
        <w:rPr>
          <w:rFonts w:ascii="Calibri" w:cs="Calibri" w:eastAsia="Calibri" w:hAnsi="Calibri"/>
          <w:b/>
          <w:bCs/>
          <w:color w:val="FFFFFF"/>
          <w:sz w:val="24"/>
          <w:szCs w:val="24"/>
        </w:rPr>
        <w:t xml:space="preserve"> DEFECT #1 </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Room / Area</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Specific Location (wall, ceiling, fixture, exterior side)</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Date First Noticed (starts the 6-month notice clock under § 327A.03(a))</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Warranty Tier (check one: 1-yr workmanship / 2-yr plumbing-elec-HVAC / 10-yr major defect)</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Severity (cosmetic / functional / structural / safety)</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spacing w:after="60" w:before="120"/>
      </w:pPr>
      <w:r>
        <w:rPr>
          <w:rFonts w:ascii="Calibri" w:cs="Calibri" w:eastAsia="Calibri" w:hAnsi="Calibri"/>
          <w:b/>
          <w:bCs/>
          <w:color w:val="1F2937"/>
          <w:sz w:val="20"/>
          <w:szCs w:val="20"/>
        </w:rPr>
        <w:t xml:space="preserve">Description of the issue (what is wrong, what symptoms are observed, code/standard implicated):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12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60" w:before="120"/>
      </w:pPr>
      <w:r>
        <w:rPr>
          <w:rFonts w:ascii="Calibri" w:cs="Calibri" w:eastAsia="Calibri" w:hAnsi="Calibri"/>
          <w:b/>
          <w:bCs/>
          <w:color w:val="1F2937"/>
          <w:sz w:val="20"/>
          <w:szCs w:val="20"/>
        </w:rPr>
        <w:t xml:space="preserve">Photo file names / numbers attached (e.g., IMG_0123, IMG_0124):</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6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40" w:before="120"/>
      </w:pPr>
      <w:r>
        <w:rPr>
          <w:rFonts w:ascii="Calibri" w:cs="Calibri" w:eastAsia="Calibri" w:hAnsi="Calibri"/>
          <w:b/>
          <w:bCs/>
          <w:color w:val="1F2937"/>
          <w:sz w:val="20"/>
          <w:szCs w:val="20"/>
        </w:rPr>
        <w:t xml:space="preserve">Has the homeowner reported this to the builder? (Critical — 6-month notice rule)</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No, never reported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verbally only (NOT sufficient under § 327A.03(a); written notice required)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text / email (may count as written notice — preserve copies)</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certified mail or formal letter (preferred — preserve green card)</w:t>
      </w:r>
    </w:p>
    <w:p>
      <w:pPr>
        <w:spacing w:after="40" w:before="80"/>
      </w:pPr>
      <w:r>
        <w:rPr>
          <w:rFonts w:ascii="Calibri" w:cs="Calibri" w:eastAsia="Calibri" w:hAnsi="Calibri"/>
          <w:b/>
          <w:bCs/>
          <w:color w:val="1F2937"/>
          <w:sz w:val="20"/>
          <w:szCs w:val="20"/>
        </w:rPr>
        <w:t xml:space="preserve">Date written notice was given (if any):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360" w:hRule="atLeast"/>
        </w:trPr>
        <w:tc>
          <w:tcPr>
            <w:tcW w:type="dxa" w:w="9720"/>
            <w:tcBorders>
              <w:top w:val="single" w:color="D1D5DB" w:sz="6"/>
              <w:left w:val="single" w:color="D1D5DB" w:sz="6"/>
              <w:bottom w:val="single" w:color="D1D5DB" w:sz="6"/>
              <w:right w:val="single" w:color="D1D5DB" w:sz="6"/>
            </w:tcBorders>
            <w:tcMar>
              <w:top w:type="dxa" w:w="60"/>
              <w:left w:type="dxa" w:w="120"/>
              <w:bottom w:type="dxa" w:w="60"/>
              <w:right w:type="dxa" w:w="120"/>
            </w:tcMar>
          </w:tcPr>
          <w:p>
            <w:r>
              <w:t xml:space="preserve"> </w:t>
            </w:r>
          </w:p>
        </w:tc>
      </w:tr>
    </w:tbl>
    <w:p>
      <w:pPr>
        <w:spacing w:after="40" w:before="80"/>
      </w:pPr>
      <w:r>
        <w:rPr>
          <w:rFonts w:ascii="Calibri" w:cs="Calibri" w:eastAsia="Calibri" w:hAnsi="Calibri"/>
          <w:b/>
          <w:bCs/>
          <w:color w:val="1F2937"/>
          <w:sz w:val="20"/>
          <w:szCs w:val="20"/>
        </w:rPr>
        <w:t xml:space="preserve">Builder's response (if any):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8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r>
        <w:br w:type="page"/>
      </w:r>
    </w:p>
    <w:p>
      <w:pPr>
        <w:shd w:fill="1F2937" w:val="clear"/>
        <w:spacing w:after="100" w:before="240"/>
      </w:pPr>
      <w:r>
        <w:rPr>
          <w:rFonts w:ascii="Calibri" w:cs="Calibri" w:eastAsia="Calibri" w:hAnsi="Calibri"/>
          <w:b/>
          <w:bCs/>
          <w:color w:val="FFFFFF"/>
          <w:sz w:val="24"/>
          <w:szCs w:val="24"/>
        </w:rPr>
        <w:t xml:space="preserve"> DEFECT #2 </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Room / Area</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Specific Location (wall, ceiling, fixture, exterior side)</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Date First Noticed (starts the 6-month notice clock under § 327A.03(a))</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Warranty Tier (check one: 1-yr workmanship / 2-yr plumbing-elec-HVAC / 10-yr major defect)</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Severity (cosmetic / functional / structural / safety)</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spacing w:after="60" w:before="120"/>
      </w:pPr>
      <w:r>
        <w:rPr>
          <w:rFonts w:ascii="Calibri" w:cs="Calibri" w:eastAsia="Calibri" w:hAnsi="Calibri"/>
          <w:b/>
          <w:bCs/>
          <w:color w:val="1F2937"/>
          <w:sz w:val="20"/>
          <w:szCs w:val="20"/>
        </w:rPr>
        <w:t xml:space="preserve">Description of the issue (what is wrong, what symptoms are observed, code/standard implicated):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12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60" w:before="120"/>
      </w:pPr>
      <w:r>
        <w:rPr>
          <w:rFonts w:ascii="Calibri" w:cs="Calibri" w:eastAsia="Calibri" w:hAnsi="Calibri"/>
          <w:b/>
          <w:bCs/>
          <w:color w:val="1F2937"/>
          <w:sz w:val="20"/>
          <w:szCs w:val="20"/>
        </w:rPr>
        <w:t xml:space="preserve">Photo file names / numbers attached (e.g., IMG_0123, IMG_0124):</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6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40" w:before="120"/>
      </w:pPr>
      <w:r>
        <w:rPr>
          <w:rFonts w:ascii="Calibri" w:cs="Calibri" w:eastAsia="Calibri" w:hAnsi="Calibri"/>
          <w:b/>
          <w:bCs/>
          <w:color w:val="1F2937"/>
          <w:sz w:val="20"/>
          <w:szCs w:val="20"/>
        </w:rPr>
        <w:t xml:space="preserve">Has the homeowner reported this to the builder? (Critical — 6-month notice rule)</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No, never reported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verbally only (NOT sufficient under § 327A.03(a); written notice required)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text / email (may count as written notice — preserve copies)</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certified mail or formal letter (preferred — preserve green card)</w:t>
      </w:r>
    </w:p>
    <w:p>
      <w:pPr>
        <w:spacing w:after="40" w:before="80"/>
      </w:pPr>
      <w:r>
        <w:rPr>
          <w:rFonts w:ascii="Calibri" w:cs="Calibri" w:eastAsia="Calibri" w:hAnsi="Calibri"/>
          <w:b/>
          <w:bCs/>
          <w:color w:val="1F2937"/>
          <w:sz w:val="20"/>
          <w:szCs w:val="20"/>
        </w:rPr>
        <w:t xml:space="preserve">Date written notice was given (if any):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360" w:hRule="atLeast"/>
        </w:trPr>
        <w:tc>
          <w:tcPr>
            <w:tcW w:type="dxa" w:w="9720"/>
            <w:tcBorders>
              <w:top w:val="single" w:color="D1D5DB" w:sz="6"/>
              <w:left w:val="single" w:color="D1D5DB" w:sz="6"/>
              <w:bottom w:val="single" w:color="D1D5DB" w:sz="6"/>
              <w:right w:val="single" w:color="D1D5DB" w:sz="6"/>
            </w:tcBorders>
            <w:tcMar>
              <w:top w:type="dxa" w:w="60"/>
              <w:left w:type="dxa" w:w="120"/>
              <w:bottom w:type="dxa" w:w="60"/>
              <w:right w:type="dxa" w:w="120"/>
            </w:tcMar>
          </w:tcPr>
          <w:p>
            <w:r>
              <w:t xml:space="preserve"> </w:t>
            </w:r>
          </w:p>
        </w:tc>
      </w:tr>
    </w:tbl>
    <w:p>
      <w:pPr>
        <w:spacing w:after="40" w:before="80"/>
      </w:pPr>
      <w:r>
        <w:rPr>
          <w:rFonts w:ascii="Calibri" w:cs="Calibri" w:eastAsia="Calibri" w:hAnsi="Calibri"/>
          <w:b/>
          <w:bCs/>
          <w:color w:val="1F2937"/>
          <w:sz w:val="20"/>
          <w:szCs w:val="20"/>
        </w:rPr>
        <w:t xml:space="preserve">Builder's response (if any):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8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r>
        <w:br w:type="page"/>
      </w:r>
    </w:p>
    <w:p>
      <w:pPr>
        <w:shd w:fill="1F2937" w:val="clear"/>
        <w:spacing w:after="100" w:before="240"/>
      </w:pPr>
      <w:r>
        <w:rPr>
          <w:rFonts w:ascii="Calibri" w:cs="Calibri" w:eastAsia="Calibri" w:hAnsi="Calibri"/>
          <w:b/>
          <w:bCs/>
          <w:color w:val="FFFFFF"/>
          <w:sz w:val="24"/>
          <w:szCs w:val="24"/>
        </w:rPr>
        <w:t xml:space="preserve"> DEFECT #3 </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Room / Area</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Specific Location (wall, ceiling, fixture, exterior side)</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Date First Noticed (starts the 6-month notice clock under § 327A.03(a))</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Warranty Tier (check one: 1-yr workmanship / 2-yr plumbing-elec-HVAC / 10-yr major defect)</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Severity (cosmetic / functional / structural / safety)</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spacing w:after="60" w:before="120"/>
      </w:pPr>
      <w:r>
        <w:rPr>
          <w:rFonts w:ascii="Calibri" w:cs="Calibri" w:eastAsia="Calibri" w:hAnsi="Calibri"/>
          <w:b/>
          <w:bCs/>
          <w:color w:val="1F2937"/>
          <w:sz w:val="20"/>
          <w:szCs w:val="20"/>
        </w:rPr>
        <w:t xml:space="preserve">Description of the issue (what is wrong, what symptoms are observed, code/standard implicated):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12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60" w:before="120"/>
      </w:pPr>
      <w:r>
        <w:rPr>
          <w:rFonts w:ascii="Calibri" w:cs="Calibri" w:eastAsia="Calibri" w:hAnsi="Calibri"/>
          <w:b/>
          <w:bCs/>
          <w:color w:val="1F2937"/>
          <w:sz w:val="20"/>
          <w:szCs w:val="20"/>
        </w:rPr>
        <w:t xml:space="preserve">Photo file names / numbers attached (e.g., IMG_0123, IMG_0124):</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6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40" w:before="120"/>
      </w:pPr>
      <w:r>
        <w:rPr>
          <w:rFonts w:ascii="Calibri" w:cs="Calibri" w:eastAsia="Calibri" w:hAnsi="Calibri"/>
          <w:b/>
          <w:bCs/>
          <w:color w:val="1F2937"/>
          <w:sz w:val="20"/>
          <w:szCs w:val="20"/>
        </w:rPr>
        <w:t xml:space="preserve">Has the homeowner reported this to the builder? (Critical — 6-month notice rule)</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No, never reported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verbally only (NOT sufficient under § 327A.03(a); written notice required)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text / email (may count as written notice — preserve copies)</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certified mail or formal letter (preferred — preserve green card)</w:t>
      </w:r>
    </w:p>
    <w:p>
      <w:pPr>
        <w:spacing w:after="40" w:before="80"/>
      </w:pPr>
      <w:r>
        <w:rPr>
          <w:rFonts w:ascii="Calibri" w:cs="Calibri" w:eastAsia="Calibri" w:hAnsi="Calibri"/>
          <w:b/>
          <w:bCs/>
          <w:color w:val="1F2937"/>
          <w:sz w:val="20"/>
          <w:szCs w:val="20"/>
        </w:rPr>
        <w:t xml:space="preserve">Date written notice was given (if any):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360" w:hRule="atLeast"/>
        </w:trPr>
        <w:tc>
          <w:tcPr>
            <w:tcW w:type="dxa" w:w="9720"/>
            <w:tcBorders>
              <w:top w:val="single" w:color="D1D5DB" w:sz="6"/>
              <w:left w:val="single" w:color="D1D5DB" w:sz="6"/>
              <w:bottom w:val="single" w:color="D1D5DB" w:sz="6"/>
              <w:right w:val="single" w:color="D1D5DB" w:sz="6"/>
            </w:tcBorders>
            <w:tcMar>
              <w:top w:type="dxa" w:w="60"/>
              <w:left w:type="dxa" w:w="120"/>
              <w:bottom w:type="dxa" w:w="60"/>
              <w:right w:type="dxa" w:w="120"/>
            </w:tcMar>
          </w:tcPr>
          <w:p>
            <w:r>
              <w:t xml:space="preserve"> </w:t>
            </w:r>
          </w:p>
        </w:tc>
      </w:tr>
    </w:tbl>
    <w:p>
      <w:pPr>
        <w:spacing w:after="40" w:before="80"/>
      </w:pPr>
      <w:r>
        <w:rPr>
          <w:rFonts w:ascii="Calibri" w:cs="Calibri" w:eastAsia="Calibri" w:hAnsi="Calibri"/>
          <w:b/>
          <w:bCs/>
          <w:color w:val="1F2937"/>
          <w:sz w:val="20"/>
          <w:szCs w:val="20"/>
        </w:rPr>
        <w:t xml:space="preserve">Builder's response (if any):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8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r>
        <w:br w:type="page"/>
      </w:r>
    </w:p>
    <w:p>
      <w:pPr>
        <w:shd w:fill="1F2937" w:val="clear"/>
        <w:spacing w:after="100" w:before="240"/>
      </w:pPr>
      <w:r>
        <w:rPr>
          <w:rFonts w:ascii="Calibri" w:cs="Calibri" w:eastAsia="Calibri" w:hAnsi="Calibri"/>
          <w:b/>
          <w:bCs/>
          <w:color w:val="FFFFFF"/>
          <w:sz w:val="24"/>
          <w:szCs w:val="24"/>
        </w:rPr>
        <w:t xml:space="preserve"> DEFECT #4 </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Room / Area</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Specific Location (wall, ceiling, fixture, exterior side)</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Date First Noticed (starts the 6-month notice clock under § 327A.03(a))</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Warranty Tier (check one: 1-yr workmanship / 2-yr plumbing-elec-HVAC / 10-yr major defect)</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Severity (cosmetic / functional / structural / safety)</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spacing w:after="60" w:before="120"/>
      </w:pPr>
      <w:r>
        <w:rPr>
          <w:rFonts w:ascii="Calibri" w:cs="Calibri" w:eastAsia="Calibri" w:hAnsi="Calibri"/>
          <w:b/>
          <w:bCs/>
          <w:color w:val="1F2937"/>
          <w:sz w:val="20"/>
          <w:szCs w:val="20"/>
        </w:rPr>
        <w:t xml:space="preserve">Description of the issue (what is wrong, what symptoms are observed, code/standard implicated):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12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60" w:before="120"/>
      </w:pPr>
      <w:r>
        <w:rPr>
          <w:rFonts w:ascii="Calibri" w:cs="Calibri" w:eastAsia="Calibri" w:hAnsi="Calibri"/>
          <w:b/>
          <w:bCs/>
          <w:color w:val="1F2937"/>
          <w:sz w:val="20"/>
          <w:szCs w:val="20"/>
        </w:rPr>
        <w:t xml:space="preserve">Photo file names / numbers attached (e.g., IMG_0123, IMG_0124):</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6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40" w:before="120"/>
      </w:pPr>
      <w:r>
        <w:rPr>
          <w:rFonts w:ascii="Calibri" w:cs="Calibri" w:eastAsia="Calibri" w:hAnsi="Calibri"/>
          <w:b/>
          <w:bCs/>
          <w:color w:val="1F2937"/>
          <w:sz w:val="20"/>
          <w:szCs w:val="20"/>
        </w:rPr>
        <w:t xml:space="preserve">Has the homeowner reported this to the builder? (Critical — 6-month notice rule)</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No, never reported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verbally only (NOT sufficient under § 327A.03(a); written notice required)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text / email (may count as written notice — preserve copies)</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certified mail or formal letter (preferred — preserve green card)</w:t>
      </w:r>
    </w:p>
    <w:p>
      <w:pPr>
        <w:spacing w:after="40" w:before="80"/>
      </w:pPr>
      <w:r>
        <w:rPr>
          <w:rFonts w:ascii="Calibri" w:cs="Calibri" w:eastAsia="Calibri" w:hAnsi="Calibri"/>
          <w:b/>
          <w:bCs/>
          <w:color w:val="1F2937"/>
          <w:sz w:val="20"/>
          <w:szCs w:val="20"/>
        </w:rPr>
        <w:t xml:space="preserve">Date written notice was given (if any):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360" w:hRule="atLeast"/>
        </w:trPr>
        <w:tc>
          <w:tcPr>
            <w:tcW w:type="dxa" w:w="9720"/>
            <w:tcBorders>
              <w:top w:val="single" w:color="D1D5DB" w:sz="6"/>
              <w:left w:val="single" w:color="D1D5DB" w:sz="6"/>
              <w:bottom w:val="single" w:color="D1D5DB" w:sz="6"/>
              <w:right w:val="single" w:color="D1D5DB" w:sz="6"/>
            </w:tcBorders>
            <w:tcMar>
              <w:top w:type="dxa" w:w="60"/>
              <w:left w:type="dxa" w:w="120"/>
              <w:bottom w:type="dxa" w:w="60"/>
              <w:right w:type="dxa" w:w="120"/>
            </w:tcMar>
          </w:tcPr>
          <w:p>
            <w:r>
              <w:t xml:space="preserve"> </w:t>
            </w:r>
          </w:p>
        </w:tc>
      </w:tr>
    </w:tbl>
    <w:p>
      <w:pPr>
        <w:spacing w:after="40" w:before="80"/>
      </w:pPr>
      <w:r>
        <w:rPr>
          <w:rFonts w:ascii="Calibri" w:cs="Calibri" w:eastAsia="Calibri" w:hAnsi="Calibri"/>
          <w:b/>
          <w:bCs/>
          <w:color w:val="1F2937"/>
          <w:sz w:val="20"/>
          <w:szCs w:val="20"/>
        </w:rPr>
        <w:t xml:space="preserve">Builder's response (if any):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8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r>
        <w:br w:type="page"/>
      </w:r>
    </w:p>
    <w:p>
      <w:pPr>
        <w:shd w:fill="1F2937" w:val="clear"/>
        <w:spacing w:after="100" w:before="240"/>
      </w:pPr>
      <w:r>
        <w:rPr>
          <w:rFonts w:ascii="Calibri" w:cs="Calibri" w:eastAsia="Calibri" w:hAnsi="Calibri"/>
          <w:b/>
          <w:bCs/>
          <w:color w:val="FFFFFF"/>
          <w:sz w:val="24"/>
          <w:szCs w:val="24"/>
        </w:rPr>
        <w:t xml:space="preserve"> DEFECT #5 </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Room / Area</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Specific Location (wall, ceiling, fixture, exterior side)</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Date First Noticed (starts the 6-month notice clock under § 327A.03(a))</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Warranty Tier (check one: 1-yr workmanship / 2-yr plumbing-elec-HVAC / 10-yr major defect)</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Severity (cosmetic / functional / structural / safety)</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spacing w:after="60" w:before="120"/>
      </w:pPr>
      <w:r>
        <w:rPr>
          <w:rFonts w:ascii="Calibri" w:cs="Calibri" w:eastAsia="Calibri" w:hAnsi="Calibri"/>
          <w:b/>
          <w:bCs/>
          <w:color w:val="1F2937"/>
          <w:sz w:val="20"/>
          <w:szCs w:val="20"/>
        </w:rPr>
        <w:t xml:space="preserve">Description of the issue (what is wrong, what symptoms are observed, code/standard implicated):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12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60" w:before="120"/>
      </w:pPr>
      <w:r>
        <w:rPr>
          <w:rFonts w:ascii="Calibri" w:cs="Calibri" w:eastAsia="Calibri" w:hAnsi="Calibri"/>
          <w:b/>
          <w:bCs/>
          <w:color w:val="1F2937"/>
          <w:sz w:val="20"/>
          <w:szCs w:val="20"/>
        </w:rPr>
        <w:t xml:space="preserve">Photo file names / numbers attached (e.g., IMG_0123, IMG_0124):</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6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pPr>
        <w:spacing w:after="40" w:before="120"/>
      </w:pPr>
      <w:r>
        <w:rPr>
          <w:rFonts w:ascii="Calibri" w:cs="Calibri" w:eastAsia="Calibri" w:hAnsi="Calibri"/>
          <w:b/>
          <w:bCs/>
          <w:color w:val="1F2937"/>
          <w:sz w:val="20"/>
          <w:szCs w:val="20"/>
        </w:rPr>
        <w:t xml:space="preserve">Has the homeowner reported this to the builder? (Critical — 6-month notice rule)</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No, never reported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verbally only (NOT sufficient under § 327A.03(a); written notice required)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text / email (may count as written notice — preserve copies)</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Yes — by certified mail or formal letter (preferred — preserve green card)</w:t>
      </w:r>
    </w:p>
    <w:p>
      <w:pPr>
        <w:spacing w:after="40" w:before="80"/>
      </w:pPr>
      <w:r>
        <w:rPr>
          <w:rFonts w:ascii="Calibri" w:cs="Calibri" w:eastAsia="Calibri" w:hAnsi="Calibri"/>
          <w:b/>
          <w:bCs/>
          <w:color w:val="1F2937"/>
          <w:sz w:val="20"/>
          <w:szCs w:val="20"/>
        </w:rPr>
        <w:t xml:space="preserve">Date written notice was given (if any):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360" w:hRule="atLeast"/>
        </w:trPr>
        <w:tc>
          <w:tcPr>
            <w:tcW w:type="dxa" w:w="9720"/>
            <w:tcBorders>
              <w:top w:val="single" w:color="D1D5DB" w:sz="6"/>
              <w:left w:val="single" w:color="D1D5DB" w:sz="6"/>
              <w:bottom w:val="single" w:color="D1D5DB" w:sz="6"/>
              <w:right w:val="single" w:color="D1D5DB" w:sz="6"/>
            </w:tcBorders>
            <w:tcMar>
              <w:top w:type="dxa" w:w="60"/>
              <w:left w:type="dxa" w:w="120"/>
              <w:bottom w:type="dxa" w:w="60"/>
              <w:right w:type="dxa" w:w="120"/>
            </w:tcMar>
          </w:tcPr>
          <w:p>
            <w:r>
              <w:t xml:space="preserve"> </w:t>
            </w:r>
          </w:p>
        </w:tc>
      </w:tr>
    </w:tbl>
    <w:p>
      <w:pPr>
        <w:spacing w:after="40" w:before="80"/>
      </w:pPr>
      <w:r>
        <w:rPr>
          <w:rFonts w:ascii="Calibri" w:cs="Calibri" w:eastAsia="Calibri" w:hAnsi="Calibri"/>
          <w:b/>
          <w:bCs/>
          <w:color w:val="1F2937"/>
          <w:sz w:val="20"/>
          <w:szCs w:val="20"/>
        </w:rPr>
        <w:t xml:space="preserve">Builder's response (if any):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rPr>
          <w:trHeight w:val="800" w:hRule="atLeast"/>
        </w:trPr>
        <w:tc>
          <w:tcPr>
            <w:tcW w:type="dxa" w:w="9720"/>
            <w:tcBorders>
              <w:top w:val="single" w:color="D1D5DB" w:sz="6"/>
              <w:left w:val="single" w:color="D1D5DB" w:sz="6"/>
              <w:bottom w:val="single" w:color="D1D5DB" w:sz="6"/>
              <w:right w:val="single" w:color="D1D5DB" w:sz="6"/>
            </w:tcBorders>
            <w:tcMar>
              <w:top w:type="dxa" w:w="80"/>
              <w:left w:type="dxa" w:w="120"/>
              <w:bottom w:type="dxa" w:w="80"/>
              <w:right w:type="dxa" w:w="120"/>
            </w:tcMar>
          </w:tcPr>
          <w:p>
            <w:r>
              <w:t xml:space="preserve"> </w:t>
            </w:r>
          </w:p>
        </w:tc>
      </w:tr>
    </w:tbl>
    <w:p>
      <w:r>
        <w:br w:type="page"/>
      </w:r>
    </w:p>
    <w:p>
      <w:pPr>
        <w:pStyle w:val="Heading1"/>
        <w:spacing w:after="200" w:before="360"/>
      </w:pPr>
      <w:r>
        <w:rPr>
          <w:rFonts w:ascii="Calibri" w:cs="Calibri" w:eastAsia="Calibri" w:hAnsi="Calibri"/>
          <w:b/>
          <w:bCs/>
          <w:color w:val="1F2937"/>
          <w:sz w:val="32"/>
          <w:szCs w:val="32"/>
        </w:rPr>
        <w:t xml:space="preserve">Communications Log</w:t>
      </w:r>
    </w:p>
    <w:p>
      <w:pPr>
        <w:spacing w:after="120"/>
        <w:jc w:val="left"/>
      </w:pPr>
      <w:r>
        <w:rPr>
          <w:rFonts w:ascii="Calibri" w:cs="Calibri" w:eastAsia="Calibri" w:hAnsi="Calibri"/>
          <w:b w:val="false"/>
          <w:bCs w:val="false"/>
          <w:i w:val="false"/>
          <w:iCs w:val="false"/>
          <w:color w:val="111827"/>
          <w:sz w:val="22"/>
          <w:szCs w:val="22"/>
        </w:rPr>
        <w:t xml:space="preserve">Every contact between the homeowner and the builder. Include date, channel (call / text / email / in person / certified mail), who initiated, and what was discussed. Written communications matter — the statute requires WRITTEN notice.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1600"/>
        <w:gridCol w:w="5120"/>
      </w:tblGrid>
      <w:tr>
        <w:tc>
          <w:tcPr>
            <w:tcW w:type="dxa" w:w="1400"/>
            <w:tcBorders>
              <w:top w:val="single" w:color="D1D5DB" w:sz="6"/>
              <w:left w:val="single" w:color="D1D5DB" w:sz="6"/>
              <w:bottom w:val="single" w:color="D1D5DB" w:sz="6"/>
              <w:right w:val="single" w:color="D1D5DB" w:sz="6"/>
            </w:tcBorders>
            <w:shd w:fill="1F2937" w:val="clear"/>
            <w:tcMar>
              <w:top w:type="dxa" w:w="80"/>
              <w:left w:type="dxa" w:w="120"/>
              <w:bottom w:type="dxa" w:w="80"/>
              <w:right w:type="dxa" w:w="120"/>
            </w:tcMar>
          </w:tcPr>
          <w:p>
            <w:r>
              <w:rPr>
                <w:rFonts w:ascii="Calibri" w:cs="Calibri" w:eastAsia="Calibri" w:hAnsi="Calibri"/>
                <w:b/>
                <w:bCs/>
                <w:color w:val="FFFFFF"/>
                <w:sz w:val="20"/>
                <w:szCs w:val="20"/>
              </w:rPr>
              <w:t xml:space="preserve">Date</w:t>
            </w:r>
          </w:p>
        </w:tc>
        <w:tc>
          <w:tcPr>
            <w:tcW w:type="dxa" w:w="1600"/>
            <w:tcBorders>
              <w:top w:val="single" w:color="D1D5DB" w:sz="6"/>
              <w:left w:val="single" w:color="D1D5DB" w:sz="6"/>
              <w:bottom w:val="single" w:color="D1D5DB" w:sz="6"/>
              <w:right w:val="single" w:color="D1D5DB" w:sz="6"/>
            </w:tcBorders>
            <w:shd w:fill="1F2937" w:val="clear"/>
            <w:tcMar>
              <w:top w:type="dxa" w:w="80"/>
              <w:left w:type="dxa" w:w="120"/>
              <w:bottom w:type="dxa" w:w="80"/>
              <w:right w:type="dxa" w:w="120"/>
            </w:tcMar>
          </w:tcPr>
          <w:p>
            <w:r>
              <w:rPr>
                <w:rFonts w:ascii="Calibri" w:cs="Calibri" w:eastAsia="Calibri" w:hAnsi="Calibri"/>
                <w:b/>
                <w:bCs/>
                <w:color w:val="FFFFFF"/>
                <w:sz w:val="20"/>
                <w:szCs w:val="20"/>
              </w:rPr>
              <w:t xml:space="preserve">Channel</w:t>
            </w:r>
          </w:p>
        </w:tc>
        <w:tc>
          <w:tcPr>
            <w:tcW w:type="dxa" w:w="1600"/>
            <w:tcBorders>
              <w:top w:val="single" w:color="D1D5DB" w:sz="6"/>
              <w:left w:val="single" w:color="D1D5DB" w:sz="6"/>
              <w:bottom w:val="single" w:color="D1D5DB" w:sz="6"/>
              <w:right w:val="single" w:color="D1D5DB" w:sz="6"/>
            </w:tcBorders>
            <w:shd w:fill="1F2937" w:val="clear"/>
            <w:tcMar>
              <w:top w:type="dxa" w:w="80"/>
              <w:left w:type="dxa" w:w="120"/>
              <w:bottom w:type="dxa" w:w="80"/>
              <w:right w:type="dxa" w:w="120"/>
            </w:tcMar>
          </w:tcPr>
          <w:p>
            <w:r>
              <w:rPr>
                <w:rFonts w:ascii="Calibri" w:cs="Calibri" w:eastAsia="Calibri" w:hAnsi="Calibri"/>
                <w:b/>
                <w:bCs/>
                <w:color w:val="FFFFFF"/>
                <w:sz w:val="20"/>
                <w:szCs w:val="20"/>
              </w:rPr>
              <w:t xml:space="preserve">Who Initiated</w:t>
            </w:r>
          </w:p>
        </w:tc>
        <w:tc>
          <w:tcPr>
            <w:tcW w:type="dxa" w:w="5120"/>
            <w:tcBorders>
              <w:top w:val="single" w:color="D1D5DB" w:sz="6"/>
              <w:left w:val="single" w:color="D1D5DB" w:sz="6"/>
              <w:bottom w:val="single" w:color="D1D5DB" w:sz="6"/>
              <w:right w:val="single" w:color="D1D5DB" w:sz="6"/>
            </w:tcBorders>
            <w:shd w:fill="1F2937" w:val="clear"/>
            <w:tcMar>
              <w:top w:type="dxa" w:w="80"/>
              <w:left w:type="dxa" w:w="120"/>
              <w:bottom w:type="dxa" w:w="80"/>
              <w:right w:type="dxa" w:w="120"/>
            </w:tcMar>
          </w:tcPr>
          <w:p>
            <w:r>
              <w:rPr>
                <w:rFonts w:ascii="Calibri" w:cs="Calibri" w:eastAsia="Calibri" w:hAnsi="Calibri"/>
                <w:b/>
                <w:bCs/>
                <w:color w:val="FFFFFF"/>
                <w:sz w:val="20"/>
                <w:szCs w:val="20"/>
              </w:rPr>
              <w:t xml:space="preserve">Subject / Substance</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512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512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512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512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512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512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512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512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512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512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512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r>
        <w:trPr>
          <w:trHeight w:val="520" w:hRule="atLeast"/>
        </w:trPr>
        <w:tc>
          <w:tcPr>
            <w:tcW w:type="dxa" w:w="14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160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c>
          <w:tcPr>
            <w:tcW w:type="dxa" w:w="5120"/>
            <w:tcBorders>
              <w:top w:val="single" w:color="D1D5DB" w:sz="6"/>
              <w:left w:val="single" w:color="D1D5DB" w:sz="6"/>
              <w:bottom w:val="single" w:color="D1D5DB" w:sz="6"/>
              <w:right w:val="single" w:color="D1D5DB" w:sz="6"/>
            </w:tcBorders>
            <w:tcMar>
              <w:top w:type="dxa" w:w="60"/>
              <w:left w:type="dxa" w:w="100"/>
              <w:bottom w:type="dxa" w:w="60"/>
              <w:right w:type="dxa" w:w="100"/>
            </w:tcMar>
          </w:tcPr>
          <w:p>
            <w:r>
              <w:t xml:space="preserve"> </w:t>
            </w:r>
          </w:p>
        </w:tc>
      </w:tr>
    </w:tbl>
    <w:p>
      <w:r>
        <w:br w:type="page"/>
      </w:r>
    </w:p>
    <w:p>
      <w:pPr>
        <w:pStyle w:val="Heading1"/>
        <w:spacing w:after="200" w:before="360"/>
      </w:pPr>
      <w:r>
        <w:rPr>
          <w:rFonts w:ascii="Calibri" w:cs="Calibri" w:eastAsia="Calibri" w:hAnsi="Calibri"/>
          <w:b/>
          <w:bCs/>
          <w:color w:val="1F2937"/>
          <w:sz w:val="32"/>
          <w:szCs w:val="32"/>
        </w:rPr>
        <w:t xml:space="preserve">Photo &amp; Video Log</w:t>
      </w:r>
    </w:p>
    <w:p>
      <w:pPr>
        <w:spacing w:after="120"/>
        <w:jc w:val="left"/>
      </w:pPr>
      <w:r>
        <w:rPr>
          <w:rFonts w:ascii="Calibri" w:cs="Calibri" w:eastAsia="Calibri" w:hAnsi="Calibri"/>
          <w:b w:val="false"/>
          <w:bCs w:val="false"/>
          <w:i w:val="false"/>
          <w:iCs w:val="false"/>
          <w:color w:val="111827"/>
          <w:sz w:val="22"/>
          <w:szCs w:val="22"/>
        </w:rPr>
        <w:t xml:space="preserve">List every image/video file saved, in the order they should be referenced. Match the photo numbers to the Defect Log above.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800"/>
        <w:gridCol w:w="2200"/>
        <w:gridCol w:w="1600"/>
        <w:gridCol w:w="2200"/>
        <w:gridCol w:w="2920"/>
      </w:tblGrid>
      <w:tr>
        <w:tc>
          <w:tcPr>
            <w:tcW w:type="dxa" w:w="800"/>
            <w:tcBorders>
              <w:top w:val="single" w:color="D1D5DB" w:sz="6"/>
              <w:left w:val="single" w:color="D1D5DB" w:sz="6"/>
              <w:bottom w:val="single" w:color="D1D5DB" w:sz="6"/>
              <w:right w:val="single" w:color="D1D5DB" w:sz="6"/>
            </w:tcBorders>
            <w:shd w:fill="1F2937" w:val="clear"/>
            <w:tcMar>
              <w:top w:type="dxa" w:w="80"/>
              <w:left w:type="dxa" w:w="100"/>
              <w:bottom w:type="dxa" w:w="80"/>
              <w:right w:type="dxa" w:w="100"/>
            </w:tcMar>
          </w:tcPr>
          <w:p>
            <w:r>
              <w:rPr>
                <w:rFonts w:ascii="Calibri" w:cs="Calibri" w:eastAsia="Calibri" w:hAnsi="Calibri"/>
                <w:b/>
                <w:bCs/>
                <w:color w:val="FFFFFF"/>
                <w:sz w:val="20"/>
                <w:szCs w:val="20"/>
              </w:rPr>
              <w:t xml:space="preserve">#</w:t>
            </w:r>
          </w:p>
        </w:tc>
        <w:tc>
          <w:tcPr>
            <w:tcW w:type="dxa" w:w="2200"/>
            <w:tcBorders>
              <w:top w:val="single" w:color="D1D5DB" w:sz="6"/>
              <w:left w:val="single" w:color="D1D5DB" w:sz="6"/>
              <w:bottom w:val="single" w:color="D1D5DB" w:sz="6"/>
              <w:right w:val="single" w:color="D1D5DB" w:sz="6"/>
            </w:tcBorders>
            <w:shd w:fill="1F2937" w:val="clear"/>
            <w:tcMar>
              <w:top w:type="dxa" w:w="80"/>
              <w:left w:type="dxa" w:w="100"/>
              <w:bottom w:type="dxa" w:w="80"/>
              <w:right w:type="dxa" w:w="100"/>
            </w:tcMar>
          </w:tcPr>
          <w:p>
            <w:r>
              <w:rPr>
                <w:rFonts w:ascii="Calibri" w:cs="Calibri" w:eastAsia="Calibri" w:hAnsi="Calibri"/>
                <w:b/>
                <w:bCs/>
                <w:color w:val="FFFFFF"/>
                <w:sz w:val="20"/>
                <w:szCs w:val="20"/>
              </w:rPr>
              <w:t xml:space="preserve">Filename / IMG #</w:t>
            </w:r>
          </w:p>
        </w:tc>
        <w:tc>
          <w:tcPr>
            <w:tcW w:type="dxa" w:w="1600"/>
            <w:tcBorders>
              <w:top w:val="single" w:color="D1D5DB" w:sz="6"/>
              <w:left w:val="single" w:color="D1D5DB" w:sz="6"/>
              <w:bottom w:val="single" w:color="D1D5DB" w:sz="6"/>
              <w:right w:val="single" w:color="D1D5DB" w:sz="6"/>
            </w:tcBorders>
            <w:shd w:fill="1F2937" w:val="clear"/>
            <w:tcMar>
              <w:top w:type="dxa" w:w="80"/>
              <w:left w:type="dxa" w:w="100"/>
              <w:bottom w:type="dxa" w:w="80"/>
              <w:right w:type="dxa" w:w="100"/>
            </w:tcMar>
          </w:tcPr>
          <w:p>
            <w:r>
              <w:rPr>
                <w:rFonts w:ascii="Calibri" w:cs="Calibri" w:eastAsia="Calibri" w:hAnsi="Calibri"/>
                <w:b/>
                <w:bCs/>
                <w:color w:val="FFFFFF"/>
                <w:sz w:val="20"/>
                <w:szCs w:val="20"/>
              </w:rPr>
              <w:t xml:space="preserve">Date Taken</w:t>
            </w:r>
          </w:p>
        </w:tc>
        <w:tc>
          <w:tcPr>
            <w:tcW w:type="dxa" w:w="2200"/>
            <w:tcBorders>
              <w:top w:val="single" w:color="D1D5DB" w:sz="6"/>
              <w:left w:val="single" w:color="D1D5DB" w:sz="6"/>
              <w:bottom w:val="single" w:color="D1D5DB" w:sz="6"/>
              <w:right w:val="single" w:color="D1D5DB" w:sz="6"/>
            </w:tcBorders>
            <w:shd w:fill="1F2937" w:val="clear"/>
            <w:tcMar>
              <w:top w:type="dxa" w:w="80"/>
              <w:left w:type="dxa" w:w="100"/>
              <w:bottom w:type="dxa" w:w="80"/>
              <w:right w:type="dxa" w:w="100"/>
            </w:tcMar>
          </w:tcPr>
          <w:p>
            <w:r>
              <w:rPr>
                <w:rFonts w:ascii="Calibri" w:cs="Calibri" w:eastAsia="Calibri" w:hAnsi="Calibri"/>
                <w:b/>
                <w:bCs/>
                <w:color w:val="FFFFFF"/>
                <w:sz w:val="20"/>
                <w:szCs w:val="20"/>
              </w:rPr>
              <w:t xml:space="preserve">Room / Location</w:t>
            </w:r>
          </w:p>
        </w:tc>
        <w:tc>
          <w:tcPr>
            <w:tcW w:type="dxa" w:w="2920"/>
            <w:tcBorders>
              <w:top w:val="single" w:color="D1D5DB" w:sz="6"/>
              <w:left w:val="single" w:color="D1D5DB" w:sz="6"/>
              <w:bottom w:val="single" w:color="D1D5DB" w:sz="6"/>
              <w:right w:val="single" w:color="D1D5DB" w:sz="6"/>
            </w:tcBorders>
            <w:shd w:fill="1F2937" w:val="clear"/>
            <w:tcMar>
              <w:top w:type="dxa" w:w="80"/>
              <w:left w:type="dxa" w:w="100"/>
              <w:bottom w:type="dxa" w:w="80"/>
              <w:right w:type="dxa" w:w="100"/>
            </w:tcMar>
          </w:tcPr>
          <w:p>
            <w:r>
              <w:rPr>
                <w:rFonts w:ascii="Calibri" w:cs="Calibri" w:eastAsia="Calibri" w:hAnsi="Calibri"/>
                <w:b/>
                <w:bCs/>
                <w:color w:val="FFFFFF"/>
                <w:sz w:val="20"/>
                <w:szCs w:val="20"/>
              </w:rPr>
              <w:t xml:space="preserve">What It Shows</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r>
        <w:trPr>
          <w:trHeight w:val="460" w:hRule="atLeast"/>
        </w:trPr>
        <w:tc>
          <w:tcPr>
            <w:tcW w:type="dxa" w:w="8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16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20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c>
          <w:tcPr>
            <w:tcW w:type="dxa" w:w="2920"/>
            <w:tcBorders>
              <w:top w:val="single" w:color="D1D5DB" w:sz="6"/>
              <w:left w:val="single" w:color="D1D5DB" w:sz="6"/>
              <w:bottom w:val="single" w:color="D1D5DB" w:sz="6"/>
              <w:right w:val="single" w:color="D1D5DB" w:sz="6"/>
            </w:tcBorders>
            <w:tcMar>
              <w:top w:type="dxa" w:w="50"/>
              <w:left w:type="dxa" w:w="80"/>
              <w:bottom w:type="dxa" w:w="50"/>
              <w:right w:type="dxa" w:w="80"/>
            </w:tcMar>
          </w:tcPr>
          <w:p>
            <w:r>
              <w:t xml:space="preserve"> </w:t>
            </w:r>
          </w:p>
        </w:tc>
      </w:tr>
    </w:tbl>
    <w:p>
      <w:r>
        <w:br w:type="page"/>
      </w:r>
    </w:p>
    <w:p>
      <w:pPr>
        <w:pStyle w:val="Heading1"/>
        <w:spacing w:after="200" w:before="360"/>
      </w:pPr>
      <w:r>
        <w:rPr>
          <w:rFonts w:ascii="Calibri" w:cs="Calibri" w:eastAsia="Calibri" w:hAnsi="Calibri"/>
          <w:b/>
          <w:bCs/>
          <w:color w:val="1F2937"/>
          <w:sz w:val="32"/>
          <w:szCs w:val="32"/>
        </w:rPr>
        <w:t xml:space="preserve">Third-Party Inspection / Expert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Has a licensed inspector or engineer reviewed the home? (yes / no)</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Name / Company</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License Number</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Date of Inspection</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r>
        <w:trPr>
          <w:trHeight w:val="360" w:hRule="atLeast"/>
        </w:trPr>
        <w:tc>
          <w:tcPr>
            <w:tcW w:type="dxa" w:w="2800"/>
            <w:tcBorders>
              <w:top w:val="single" w:color="D1D5DB" w:sz="6"/>
              <w:left w:val="single" w:color="D1D5DB" w:sz="6"/>
              <w:bottom w:val="single" w:color="D1D5DB" w:sz="6"/>
              <w:right w:val="single" w:color="D1D5DB" w:sz="6"/>
            </w:tcBorders>
            <w:shd w:fill="F3F4F6" w:val="clear"/>
            <w:tcMar>
              <w:top w:type="dxa" w:w="80"/>
              <w:left w:type="dxa" w:w="120"/>
              <w:bottom w:type="dxa" w:w="80"/>
              <w:right w:type="dxa" w:w="120"/>
            </w:tcMar>
          </w:tcPr>
          <w:p>
            <w:r>
              <w:rPr>
                <w:rFonts w:ascii="Calibri" w:cs="Calibri" w:eastAsia="Calibri" w:hAnsi="Calibri"/>
                <w:b/>
                <w:bCs/>
                <w:color w:val="1F2937"/>
                <w:sz w:val="20"/>
                <w:szCs w:val="20"/>
              </w:rPr>
              <w:t xml:space="preserve">Summary of findings (attach full report)</w:t>
            </w:r>
          </w:p>
        </w:tc>
        <w:tc>
          <w:tcPr>
            <w:tcW w:type="dxa" w:w="6920"/>
            <w:tcBorders>
              <w:top w:val="single" w:color="D1D5DB" w:sz="6"/>
              <w:left w:val="single" w:color="D1D5DB" w:sz="6"/>
              <w:bottom w:val="single" w:color="D1D5DB" w:sz="6"/>
              <w:right w:val="single" w:color="D1D5DB" w:sz="6"/>
            </w:tcBorders>
            <w:shd w:fill="FFFFFF" w:val="clear"/>
            <w:tcMar>
              <w:top w:type="dxa" w:w="80"/>
              <w:left w:type="dxa" w:w="120"/>
              <w:bottom w:type="dxa" w:w="80"/>
              <w:right w:type="dxa" w:w="120"/>
            </w:tcMar>
          </w:tcPr>
          <w:p>
            <w:r>
              <w:rPr>
                <w:sz w:val="22"/>
                <w:szCs w:val="22"/>
              </w:rPr>
              <w:t xml:space="preserve"> </w:t>
            </w:r>
          </w:p>
        </w:tc>
      </w:tr>
    </w:tbl>
    <w:p>
      <w:pPr>
        <w:pStyle w:val="Heading1"/>
        <w:spacing w:after="200" w:before="360"/>
      </w:pPr>
      <w:r>
        <w:rPr>
          <w:rFonts w:ascii="Calibri" w:cs="Calibri" w:eastAsia="Calibri" w:hAnsi="Calibri"/>
          <w:b/>
          <w:bCs/>
          <w:color w:val="1F2937"/>
          <w:sz w:val="32"/>
          <w:szCs w:val="32"/>
        </w:rPr>
        <w:t xml:space="preserve">Regulatory &amp; Consumer Filings Already Made</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DLI Residential Building Contractor complaint (Minn. Stat. Ch. 326B)</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DLI Home Warranty Dispute Resolution invocation (Minn. Stat. § 327A.051)</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Minnesota AG Consumer Assistance Request</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Local building inspector / code enforcement re-inspection request</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Better Business Bureau complaint</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Housing First Minnesota or BAM informal mediation</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None yet</w:t>
      </w:r>
    </w:p>
    <w:p>
      <w:pPr>
        <w:spacing w:after="80"/>
      </w:pPr>
      <w:r>
        <w:t xml:space="preserve"> </w:t>
      </w:r>
    </w:p>
    <w:p>
      <w:pPr>
        <w:spacing w:after="40"/>
      </w:pPr>
      <w:r>
        <w:rPr>
          <w:rFonts w:ascii="Calibri" w:cs="Calibri" w:eastAsia="Calibri" w:hAnsi="Calibri"/>
          <w:b/>
          <w:bCs/>
          <w:color w:val="1F2937"/>
          <w:sz w:val="20"/>
          <w:szCs w:val="20"/>
        </w:rPr>
        <w:t xml:space="preserve">Filing reference numbers and dates:</w:t>
      </w:r>
    </w:p>
    <w:p>
      <w:pPr>
        <w:pBdr>
          <w:bottom w:val="single" w:color="888888" w:sz="6" w:space="1"/>
        </w:pBdr>
        <w:spacing w:after="0" w:before="200"/>
      </w:pPr>
      <w:r>
        <w:rPr>
          <w:sz w:val="22"/>
          <w:szCs w:val="22"/>
        </w:rPr>
        <w:t xml:space="preserve"> </w:t>
      </w:r>
    </w:p>
    <w:p>
      <w:pPr>
        <w:pBdr>
          <w:bottom w:val="single" w:color="888888" w:sz="6" w:space="1"/>
        </w:pBdr>
        <w:spacing w:after="0" w:before="200"/>
      </w:pPr>
      <w:r>
        <w:rPr>
          <w:sz w:val="22"/>
          <w:szCs w:val="22"/>
        </w:rPr>
        <w:t xml:space="preserve"> </w:t>
      </w:r>
    </w:p>
    <w:p>
      <w:pPr>
        <w:pBdr>
          <w:bottom w:val="single" w:color="888888" w:sz="6" w:space="1"/>
        </w:pBdr>
        <w:spacing w:after="0" w:before="200"/>
      </w:pPr>
      <w:r>
        <w:rPr>
          <w:sz w:val="22"/>
          <w:szCs w:val="22"/>
        </w:rPr>
        <w:t xml:space="preserve"> </w:t>
      </w:r>
    </w:p>
    <w:p>
      <w:pPr>
        <w:pStyle w:val="Heading1"/>
        <w:spacing w:after="200" w:before="360"/>
      </w:pPr>
      <w:r>
        <w:rPr>
          <w:rFonts w:ascii="Calibri" w:cs="Calibri" w:eastAsia="Calibri" w:hAnsi="Calibri"/>
          <w:b/>
          <w:bCs/>
          <w:color w:val="1F2937"/>
          <w:sz w:val="32"/>
          <w:szCs w:val="32"/>
        </w:rPr>
        <w:t xml:space="preserve">What the Homeowner Wants</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Builder to repair all defects at builder's expense (statutory remedy)</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Reimbursement for homeowner-paid repairs already completed</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Monetary settlement (diminution in value under § 327A.05)</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Replacement of defective component or system</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Contractor Recovery Fund claim post-judgment (Minn. Stat. § 326B.89)</w:t>
      </w:r>
    </w:p>
    <w:p>
      <w:pPr>
        <w:spacing w:after="80"/>
      </w:pPr>
      <w:r>
        <w:rPr>
          <w:rFonts w:ascii="Calibri" w:cs="Calibri" w:eastAsia="Calibri" w:hAnsi="Calibri"/>
          <w:color w:val="1F2937"/>
          <w:sz w:val="24"/>
          <w:szCs w:val="24"/>
        </w:rPr>
        <w:t xml:space="preserve">☐  </w:t>
      </w:r>
      <w:r>
        <w:rPr>
          <w:rFonts w:ascii="Calibri" w:cs="Calibri" w:eastAsia="Calibri" w:hAnsi="Calibri"/>
          <w:color w:val="111827"/>
          <w:sz w:val="22"/>
          <w:szCs w:val="22"/>
        </w:rPr>
        <w:t xml:space="preserve">Combination — specify below</w:t>
      </w:r>
    </w:p>
    <w:p>
      <w:pPr>
        <w:spacing w:after="40"/>
      </w:pPr>
      <w:r>
        <w:rPr>
          <w:rFonts w:ascii="Calibri" w:cs="Calibri" w:eastAsia="Calibri" w:hAnsi="Calibri"/>
          <w:b/>
          <w:bCs/>
          <w:color w:val="1F2937"/>
          <w:sz w:val="20"/>
          <w:szCs w:val="20"/>
        </w:rPr>
        <w:t xml:space="preserve">Notes / specific remedy sought:</w:t>
      </w:r>
    </w:p>
    <w:p>
      <w:pPr>
        <w:pBdr>
          <w:bottom w:val="single" w:color="888888" w:sz="6" w:space="1"/>
        </w:pBdr>
        <w:spacing w:after="0" w:before="200"/>
      </w:pPr>
      <w:r>
        <w:rPr>
          <w:sz w:val="22"/>
          <w:szCs w:val="22"/>
        </w:rPr>
        <w:t xml:space="preserve"> </w:t>
      </w:r>
    </w:p>
    <w:p>
      <w:pPr>
        <w:pBdr>
          <w:bottom w:val="single" w:color="888888" w:sz="6" w:space="1"/>
        </w:pBdr>
        <w:spacing w:after="0" w:before="200"/>
      </w:pPr>
      <w:r>
        <w:rPr>
          <w:sz w:val="22"/>
          <w:szCs w:val="22"/>
        </w:rPr>
        <w:t xml:space="preserve"> </w:t>
      </w:r>
    </w:p>
    <w:p>
      <w:pPr>
        <w:pBdr>
          <w:bottom w:val="single" w:color="888888" w:sz="6" w:space="1"/>
        </w:pBdr>
        <w:spacing w:after="0" w:before="200"/>
      </w:pPr>
      <w:r>
        <w:rPr>
          <w:sz w:val="22"/>
          <w:szCs w:val="22"/>
        </w:rPr>
        <w:t xml:space="preserve"> </w:t>
      </w:r>
    </w:p>
    <w:p>
      <w:r>
        <w:br w:type="page"/>
      </w:r>
    </w:p>
    <w:p>
      <w:pPr>
        <w:pStyle w:val="Heading1"/>
        <w:spacing w:after="200" w:before="360"/>
      </w:pPr>
      <w:r>
        <w:rPr>
          <w:rFonts w:ascii="Calibri" w:cs="Calibri" w:eastAsia="Calibri" w:hAnsi="Calibri"/>
          <w:b/>
          <w:bCs/>
          <w:color w:val="1F2937"/>
          <w:sz w:val="32"/>
          <w:szCs w:val="32"/>
        </w:rPr>
        <w:t xml:space="preserve">Walkthrough Sign-Off</w:t>
      </w:r>
    </w:p>
    <w:p>
      <w:pPr>
        <w:spacing w:after="120"/>
        <w:jc w:val="left"/>
      </w:pPr>
      <w:r>
        <w:rPr>
          <w:rFonts w:ascii="Calibri" w:cs="Calibri" w:eastAsia="Calibri" w:hAnsi="Calibri"/>
          <w:b w:val="false"/>
          <w:bCs w:val="false"/>
          <w:i w:val="false"/>
          <w:iCs w:val="false"/>
          <w:color w:val="111827"/>
          <w:sz w:val="22"/>
          <w:szCs w:val="22"/>
        </w:rPr>
        <w:t xml:space="preserve">By signing below, the homeowner confirms the information above accurately reflects the home as walked on the date noted and authorizes the person assisting them to share this intake with their attorney for the purpose of preparing a demand packet under Minn. Stat. Ch. 327A.</w:t>
      </w:r>
    </w:p>
    <w:p>
      <w:pPr>
        <w:spacing w:after="200"/>
      </w:pPr>
      <w:r>
        <w:t xml:space="preserve"> </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660"/>
        <w:gridCol w:w="400"/>
        <w:gridCol w:w="4660"/>
      </w:tblGrid>
      <w:tr>
        <w:tc>
          <w:tcPr>
            <w:tcW w:type="dxa" w:w="4660"/>
            <w:tcBorders>
              <w:top w:val="none" w:color="FFFFFF" w:sz="0"/>
              <w:left w:val="none" w:color="FFFFFF" w:sz="0"/>
              <w:bottom w:val="none" w:color="FFFFFF" w:sz="0"/>
              <w:right w:val="none" w:color="FFFFFF" w:sz="0"/>
            </w:tcBorders>
          </w:tcPr>
          <w:p>
            <w:pPr>
              <w:pBdr>
                <w:bottom w:val="single" w:color="888888" w:sz="6" w:space="1"/>
              </w:pBdr>
              <w:spacing w:before="400"/>
            </w:pPr>
            <w:r>
              <w:rPr>
                <w:sz w:val="22"/>
                <w:szCs w:val="22"/>
              </w:rPr>
              <w:t xml:space="preserve"> </w:t>
            </w:r>
          </w:p>
          <w:p>
            <w:r>
              <w:rPr>
                <w:rFonts w:ascii="Calibri" w:cs="Calibri" w:eastAsia="Calibri" w:hAnsi="Calibri"/>
                <w:b/>
                <w:bCs/>
                <w:color w:val="1F2937"/>
                <w:sz w:val="20"/>
                <w:szCs w:val="20"/>
              </w:rPr>
              <w:t xml:space="preserve">Homeowner signature</w:t>
            </w:r>
          </w:p>
        </w:tc>
        <w:tc>
          <w:tcPr>
            <w:tcW w:type="dxa" w:w="400"/>
            <w:tcBorders>
              <w:top w:val="none" w:color="FFFFFF" w:sz="0"/>
              <w:left w:val="none" w:color="FFFFFF" w:sz="0"/>
              <w:bottom w:val="none" w:color="FFFFFF" w:sz="0"/>
              <w:right w:val="none" w:color="FFFFFF" w:sz="0"/>
            </w:tcBorders>
          </w:tcPr>
          <w:p>
            <w:r>
              <w:t xml:space="preserve"> </w:t>
            </w:r>
          </w:p>
        </w:tc>
        <w:tc>
          <w:tcPr>
            <w:tcW w:type="dxa" w:w="4660"/>
            <w:tcBorders>
              <w:top w:val="none" w:color="FFFFFF" w:sz="0"/>
              <w:left w:val="none" w:color="FFFFFF" w:sz="0"/>
              <w:bottom w:val="none" w:color="FFFFFF" w:sz="0"/>
              <w:right w:val="none" w:color="FFFFFF" w:sz="0"/>
            </w:tcBorders>
          </w:tcPr>
          <w:p>
            <w:pPr>
              <w:pBdr>
                <w:bottom w:val="single" w:color="888888" w:sz="6" w:space="1"/>
              </w:pBdr>
              <w:spacing w:before="400"/>
            </w:pPr>
            <w:r>
              <w:rPr>
                <w:sz w:val="22"/>
                <w:szCs w:val="22"/>
              </w:rPr>
              <w:t xml:space="preserve"> </w:t>
            </w:r>
          </w:p>
          <w:p>
            <w:r>
              <w:rPr>
                <w:rFonts w:ascii="Calibri" w:cs="Calibri" w:eastAsia="Calibri" w:hAnsi="Calibri"/>
                <w:b/>
                <w:bCs/>
                <w:color w:val="1F2937"/>
                <w:sz w:val="20"/>
                <w:szCs w:val="20"/>
              </w:rPr>
              <w:t xml:space="preserve">Date</w:t>
            </w:r>
          </w:p>
        </w:tc>
      </w:tr>
    </w:tbl>
    <w:p>
      <w:pPr>
        <w:spacing w:after="200"/>
      </w:pPr>
      <w:r>
        <w:t xml:space="preserve"> </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660"/>
        <w:gridCol w:w="400"/>
        <w:gridCol w:w="4660"/>
      </w:tblGrid>
      <w:tr>
        <w:tc>
          <w:tcPr>
            <w:tcW w:type="dxa" w:w="4660"/>
            <w:tcBorders>
              <w:top w:val="none" w:color="FFFFFF" w:sz="0"/>
              <w:left w:val="none" w:color="FFFFFF" w:sz="0"/>
              <w:bottom w:val="none" w:color="FFFFFF" w:sz="0"/>
              <w:right w:val="none" w:color="FFFFFF" w:sz="0"/>
            </w:tcBorders>
          </w:tcPr>
          <w:p>
            <w:pPr>
              <w:pBdr>
                <w:bottom w:val="single" w:color="888888" w:sz="6" w:space="1"/>
              </w:pBdr>
              <w:spacing w:before="400"/>
            </w:pPr>
            <w:r>
              <w:rPr>
                <w:sz w:val="22"/>
                <w:szCs w:val="22"/>
              </w:rPr>
              <w:t xml:space="preserve"> </w:t>
            </w:r>
          </w:p>
          <w:p>
            <w:r>
              <w:rPr>
                <w:rFonts w:ascii="Calibri" w:cs="Calibri" w:eastAsia="Calibri" w:hAnsi="Calibri"/>
                <w:b/>
                <w:bCs/>
                <w:color w:val="1F2937"/>
                <w:sz w:val="20"/>
                <w:szCs w:val="20"/>
              </w:rPr>
              <w:t xml:space="preserve">Person assisting (name / role)</w:t>
            </w:r>
          </w:p>
        </w:tc>
        <w:tc>
          <w:tcPr>
            <w:tcW w:type="dxa" w:w="400"/>
            <w:tcBorders>
              <w:top w:val="none" w:color="FFFFFF" w:sz="0"/>
              <w:left w:val="none" w:color="FFFFFF" w:sz="0"/>
              <w:bottom w:val="none" w:color="FFFFFF" w:sz="0"/>
              <w:right w:val="none" w:color="FFFFFF" w:sz="0"/>
            </w:tcBorders>
          </w:tcPr>
          <w:p>
            <w:r>
              <w:t xml:space="preserve"> </w:t>
            </w:r>
          </w:p>
        </w:tc>
        <w:tc>
          <w:tcPr>
            <w:tcW w:type="dxa" w:w="4660"/>
            <w:tcBorders>
              <w:top w:val="none" w:color="FFFFFF" w:sz="0"/>
              <w:left w:val="none" w:color="FFFFFF" w:sz="0"/>
              <w:bottom w:val="none" w:color="FFFFFF" w:sz="0"/>
              <w:right w:val="none" w:color="FFFFFF" w:sz="0"/>
            </w:tcBorders>
          </w:tcPr>
          <w:p>
            <w:pPr>
              <w:pBdr>
                <w:bottom w:val="single" w:color="888888" w:sz="6" w:space="1"/>
              </w:pBdr>
              <w:spacing w:before="400"/>
            </w:pPr>
            <w:r>
              <w:rPr>
                <w:sz w:val="22"/>
                <w:szCs w:val="22"/>
              </w:rPr>
              <w:t xml:space="preserve"> </w:t>
            </w:r>
          </w:p>
          <w:p>
            <w:r>
              <w:rPr>
                <w:rFonts w:ascii="Calibri" w:cs="Calibri" w:eastAsia="Calibri" w:hAnsi="Calibri"/>
                <w:b/>
                <w:bCs/>
                <w:color w:val="1F2937"/>
                <w:sz w:val="20"/>
                <w:szCs w:val="20"/>
              </w:rPr>
              <w:t xml:space="preserve">Date</w:t>
            </w:r>
          </w:p>
        </w:tc>
      </w:tr>
    </w:tbl>
    <w:p>
      <w:pPr>
        <w:spacing w:after="8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B5563" w:sz="6"/>
              <w:left w:val="single" w:color="4B5563" w:sz="6"/>
              <w:bottom w:val="single" w:color="4B5563" w:sz="6"/>
              <w:right w:val="single" w:color="4B5563" w:sz="6"/>
            </w:tcBorders>
            <w:shd w:fill="F3F4F6" w:val="clear"/>
            <w:tcMar>
              <w:top w:type="dxa" w:w="200"/>
              <w:left w:type="dxa" w:w="240"/>
              <w:bottom w:type="dxa" w:w="200"/>
              <w:right w:type="dxa" w:w="240"/>
            </w:tcMar>
          </w:tcPr>
          <w:p>
            <w:pPr>
              <w:spacing w:after="80"/>
            </w:pPr>
            <w:r>
              <w:rPr>
                <w:rFonts w:ascii="Calibri" w:cs="Calibri" w:eastAsia="Calibri" w:hAnsi="Calibri"/>
                <w:b/>
                <w:bCs/>
                <w:color w:val="1F2937"/>
                <w:sz w:val="22"/>
                <w:szCs w:val="22"/>
              </w:rPr>
              <w:t xml:space="preserve">Accessibility note</w:t>
            </w:r>
          </w:p>
          <w:p>
            <w:pPr>
              <w:spacing w:after="60"/>
            </w:pPr>
            <w:r>
              <w:rPr>
                <w:rFonts w:ascii="Calibri" w:cs="Calibri" w:eastAsia="Calibri" w:hAnsi="Calibri"/>
                <w:color w:val="111827"/>
                <w:sz w:val="21"/>
                <w:szCs w:val="21"/>
              </w:rPr>
              <w:t xml:space="preserve">For Deaf and Hard of Hearing homeowners, schedule a certified ASL interpreter or VRI for the walkthrough. The walkthrough can be recorded on video for later review with the attorney. All written communication should go by text or email, not voice phone.</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7280"/>
        <w:sz w:val="18"/>
        <w:szCs w:val="18"/>
      </w:rPr>
      <w:t xml:space="preserve">Page </w:t>
    </w:r>
    <w:r>
      <w:rPr>
        <w:rFonts w:ascii="Calibri" w:cs="Calibri" w:eastAsia="Calibri" w:hAnsi="Calibri"/>
        <w:color w:val="6B7280"/>
        <w:sz w:val="18"/>
        <w:szCs w:val="18"/>
      </w:rPr>
      <w:fldChar w:fldCharType="begin"/>
      <w:instrText xml:space="preserve">PAGE</w:instrText>
      <w:fldChar w:fldCharType="separate"/>
      <w:fldChar w:fldCharType="end"/>
    </w:r>
    <w:r>
      <w:rPr>
        <w:rFonts w:ascii="Calibri" w:cs="Calibri" w:eastAsia="Calibri" w:hAnsi="Calibri"/>
        <w:color w:val="6B7280"/>
        <w:sz w:val="18"/>
        <w:szCs w:val="18"/>
      </w:rPr>
      <w:t xml:space="preserve"> of </w:t>
    </w:r>
    <w:r>
      <w:rPr>
        <w:rFonts w:ascii="Calibri" w:cs="Calibri" w:eastAsia="Calibri" w:hAnsi="Calibri"/>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2937" w:sz="8" w:space="4"/>
      </w:pBdr>
      <w:jc w:val="right"/>
    </w:pPr>
    <w:r>
      <w:rPr>
        <w:rFonts w:ascii="Calibri" w:cs="Calibri" w:eastAsia="Calibri" w:hAnsi="Calibri"/>
        <w:color w:val="6B7280"/>
        <w:sz w:val="18"/>
        <w:szCs w:val="18"/>
      </w:rPr>
      <w:t xml:space="preserve">Minnesota Builder Defect Walkthrough Intake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Calibri" w:cs="Calibri" w:eastAsia="Calibri" w:hAnsi="Calibri"/>
      <w:b/>
      <w:bCs/>
      <w:color w:val="1F2937"/>
      <w:sz w:val="32"/>
      <w:szCs w:val="32"/>
    </w:rPr>
  </w:style>
  <w:style w:type="paragraph" w:styleId="Heading2">
    <w:name w:val="Heading 2"/>
    <w:basedOn w:val="Normal"/>
    <w:next w:val="Normal"/>
    <w:qFormat/>
    <w:pPr>
      <w:spacing w:after="100" w:before="220"/>
      <w:outlineLvl w:val="1"/>
    </w:pPr>
    <w:rPr>
      <w:rFonts w:ascii="Calibri" w:cs="Calibri" w:eastAsia="Calibri" w:hAnsi="Calibri"/>
      <w:b/>
      <w:bCs/>
      <w:color w:val="37415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Builder Defect Walkthrough Intake Form</dc:title>
  <dc:creator>Reference</dc:creator>
  <cp:lastModifiedBy>Un-named</cp:lastModifiedBy>
  <cp:revision>1</cp:revision>
  <dcterms:created xsi:type="dcterms:W3CDTF">2026-05-20T22:24:42.670Z</dcterms:created>
  <dcterms:modified xsi:type="dcterms:W3CDTF">2026-05-20T22:24:42.670Z</dcterms:modified>
</cp:coreProperties>
</file>

<file path=docProps/custom.xml><?xml version="1.0" encoding="utf-8"?>
<Properties xmlns="http://schemas.openxmlformats.org/officeDocument/2006/custom-properties" xmlns:vt="http://schemas.openxmlformats.org/officeDocument/2006/docPropsVTypes"/>
</file>