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OHIO</w:t>
      </w:r>
    </w:p>
    <w:p>
      <w:pPr>
        <w:spacing w:after="120"/>
        <w:jc w:val="center"/>
      </w:pPr>
      <w:r>
        <w:rPr>
          <w:rFonts w:ascii="Calibri" w:cs="Calibri" w:eastAsia="Calibri" w:hAnsi="Calibri"/>
          <w:b/>
          <w:bCs/>
          <w:color w:val="2B2B2B"/>
          <w:sz w:val="36"/>
          <w:szCs w:val="36"/>
        </w:rPr>
        <w:t xml:space="preserve">Builder Defect Walkthrough Intake Form</w:t>
      </w:r>
    </w:p>
    <w:p>
      <w:pPr>
        <w:spacing w:after="720"/>
        <w:jc w:val="center"/>
      </w:pPr>
      <w:r>
        <w:rPr>
          <w:rFonts w:ascii="Calibri" w:cs="Calibri" w:eastAsia="Calibri" w:hAnsi="Calibri"/>
          <w:i/>
          <w:iCs/>
          <w:color w:val="555555"/>
          <w:sz w:val="24"/>
          <w:szCs w:val="24"/>
        </w:rPr>
        <w:t xml:space="preserve">A printable companion to the Ohio New Home Construction Warranty Reference</w:t>
      </w:r>
    </w:p>
    <w:p>
      <w:pPr>
        <w:spacing w:after="80"/>
        <w:jc w:val="center"/>
      </w:pPr>
      <w:r>
        <w:rPr>
          <w:rFonts w:ascii="Calibri" w:cs="Calibri" w:eastAsia="Calibri" w:hAnsi="Calibri"/>
          <w:color w:val="555555"/>
          <w:sz w:val="22"/>
          <w:szCs w:val="22"/>
        </w:rPr>
        <w:t xml:space="preserve">Use this form during the on-site walkthrough with the homeowner. Capture details while the evidence is fresh.</w:t>
      </w:r>
    </w:p>
    <w:p>
      <w:pPr>
        <w:spacing w:after="1200"/>
        <w:jc w:val="center"/>
      </w:pPr>
      <w:r>
        <w:rPr>
          <w:rFonts w:ascii="Calibri" w:cs="Calibri" w:eastAsia="Calibri" w:hAnsi="Calibri"/>
          <w:i/>
          <w:iCs/>
          <w:color w:val="555555"/>
          <w:sz w:val="20"/>
          <w:szCs w:val="20"/>
        </w:rPr>
        <w:t xml:space="preserve">Not legal advice — verify deadlines and remedies with a licensed Ohio attorney.</w:t>
      </w:r>
    </w:p>
    <w:p>
      <w:pPr>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Accessibility Note</w:t>
      </w:r>
    </w:p>
    <w:p>
      <w:pPr>
        <w:spacing w:after="80" w:before="80" w:line="300"/>
        <w:jc w:val="left"/>
      </w:pPr>
      <w:r>
        <w:rPr>
          <w:rFonts w:ascii="Calibri" w:cs="Calibri" w:eastAsia="Calibri" w:hAnsi="Calibri"/>
          <w:b w:val="false"/>
          <w:bCs w:val="false"/>
          <w:i w:val="false"/>
          <w:iCs w:val="false"/>
          <w:color w:val="2B2B2B"/>
          <w:sz w:val="22"/>
          <w:szCs w:val="22"/>
        </w:rPr>
        <w:t xml:space="preserve">This walkthrough should be made accessible to Deaf, hard-of-hearing, DeafBlind, and other homeowners who use American Sign Language or who otherwise need accommodation. Arrange a qualified ASL interpreter or Video Remote Interpreting (VRI) in advance, allow extra time for the visit, ensure good lighting for sightlines, and confirm the homeowner's preferred mode of communication at the start. Any technical or legal terms used during the walkthrough should be confirmed in plain language before they are entered on this form.</w:t>
      </w:r>
    </w:p>
    <w:p>
      <w:pPr>
        <w:spacing w:after="80" w:before="80" w:line="300"/>
        <w:jc w:val="left"/>
      </w:pPr>
      <w:r>
        <w:rPr>
          <w:rFonts w:ascii="Calibri" w:cs="Calibri" w:eastAsia="Calibri" w:hAnsi="Calibri"/>
          <w:b w:val="false"/>
          <w:bCs w:val="false"/>
          <w:i w:val="false"/>
          <w:iCs w:val="false"/>
          <w:color w:val="2B2B2B"/>
          <w:sz w:val="22"/>
          <w:szCs w:val="22"/>
        </w:rPr>
        <w:t xml:space="preserve"> </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 Homeowner and Property Information</w:t>
      </w:r>
    </w:p>
    <w:p>
      <w:pPr>
        <w:spacing w:after="80" w:before="80" w:line="300"/>
      </w:pPr>
      <w:r>
        <w:rPr>
          <w:rFonts w:ascii="Calibri" w:cs="Calibri" w:eastAsia="Calibri" w:hAnsi="Calibri"/>
          <w:b/>
          <w:bCs/>
          <w:color w:val="2B2B2B"/>
          <w:sz w:val="22"/>
          <w:szCs w:val="22"/>
        </w:rPr>
        <w:t xml:space="preserve">Homeowner full name(s):  </w:t>
      </w:r>
      <w:r>
        <w:rPr>
          <w:rFonts w:ascii="Calibri" w:cs="Calibri" w:eastAsia="Calibri" w:hAnsi="Calibri"/>
          <w:color w:val="555555"/>
          <w:sz w:val="22"/>
          <w:szCs w:val="22"/>
        </w:rPr>
        <w:t xml:space="preserve">______________________________________________________________________</w:t>
      </w:r>
    </w:p>
    <w:p>
      <w:pPr>
        <w:spacing w:after="80" w:before="80" w:line="300"/>
      </w:pPr>
      <w:r>
        <w:rPr>
          <w:rFonts w:ascii="Calibri" w:cs="Calibri" w:eastAsia="Calibri" w:hAnsi="Calibri"/>
          <w:b/>
          <w:bCs/>
          <w:color w:val="2B2B2B"/>
          <w:sz w:val="22"/>
          <w:szCs w:val="22"/>
        </w:rPr>
        <w:t xml:space="preserve">Property address:  </w:t>
      </w:r>
      <w:r>
        <w:rPr>
          <w:rFonts w:ascii="Calibri" w:cs="Calibri" w:eastAsia="Calibri" w:hAnsi="Calibri"/>
          <w:color w:val="555555"/>
          <w:sz w:val="22"/>
          <w:szCs w:val="22"/>
        </w:rPr>
        <w:t xml:space="preserve">___________________________________________________________________________</w:t>
      </w:r>
    </w:p>
    <w:p>
      <w:pPr>
        <w:spacing w:after="80" w:before="80" w:line="300"/>
      </w:pPr>
      <w:r>
        <w:rPr>
          <w:rFonts w:ascii="Calibri" w:cs="Calibri" w:eastAsia="Calibri" w:hAnsi="Calibri"/>
          <w:b/>
          <w:bCs/>
          <w:color w:val="2B2B2B"/>
          <w:sz w:val="22"/>
          <w:szCs w:val="22"/>
        </w:rPr>
        <w:t xml:space="preserve">County: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City / township (and whether inside a municipality with builder registration):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substantial completion: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first occupancy: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closing: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homeowner first noticed each defect (see Defect Inventory):  </w:t>
      </w:r>
      <w:r>
        <w:rPr>
          <w:rFonts w:ascii="Calibri" w:cs="Calibri" w:eastAsia="Calibri" w:hAnsi="Calibri"/>
          <w:color w:val="555555"/>
          <w:sz w:val="22"/>
          <w:szCs w:val="22"/>
        </w:rPr>
        <w:t xml:space="preserve">________________________________________</w:t>
      </w:r>
    </w:p>
    <w:p>
      <w:pPr>
        <w:spacing w:after="80" w:before="80" w:line="300"/>
      </w:pPr>
      <w:r>
        <w:rPr>
          <w:rFonts w:ascii="Calibri" w:cs="Calibri" w:eastAsia="Calibri" w:hAnsi="Calibri"/>
          <w:b/>
          <w:bCs/>
          <w:color w:val="2B2B2B"/>
          <w:sz w:val="22"/>
          <w:szCs w:val="22"/>
        </w:rPr>
        <w:t xml:space="preserve">Homeowner phone: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Homeowner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Preferred mode of communication (ASL / written / spoken English / other):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Interpreter or VRI used today (provider / contact):  </w:t>
      </w:r>
      <w:r>
        <w:rPr>
          <w:rFonts w:ascii="Calibri" w:cs="Calibri" w:eastAsia="Calibri" w:hAnsi="Calibri"/>
          <w:color w:val="555555"/>
          <w:sz w:val="22"/>
          <w:szCs w:val="22"/>
        </w:rPr>
        <w:t xml:space="preserve">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2. Builder and Subcontractor Information</w:t>
      </w:r>
    </w:p>
    <w:p>
      <w:pPr>
        <w:spacing w:after="80" w:before="80" w:line="300"/>
      </w:pPr>
      <w:r>
        <w:rPr>
          <w:rFonts w:ascii="Calibri" w:cs="Calibri" w:eastAsia="Calibri" w:hAnsi="Calibri"/>
          <w:b/>
          <w:bCs/>
          <w:color w:val="2B2B2B"/>
          <w:sz w:val="22"/>
          <w:szCs w:val="22"/>
        </w:rPr>
        <w:t xml:space="preserve">Builder / company name: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State of incorporation / Ohio Secretary of State entity number:  </w:t>
      </w:r>
      <w:r>
        <w:rPr>
          <w:rFonts w:ascii="Calibri" w:cs="Calibri" w:eastAsia="Calibri" w:hAnsi="Calibri"/>
          <w:color w:val="555555"/>
          <w:sz w:val="22"/>
          <w:szCs w:val="22"/>
        </w:rPr>
        <w:t xml:space="preserve">________________________________________</w:t>
      </w:r>
    </w:p>
    <w:p>
      <w:pPr>
        <w:spacing w:after="80" w:before="80" w:line="300"/>
      </w:pPr>
      <w:r>
        <w:rPr>
          <w:rFonts w:ascii="Calibri" w:cs="Calibri" w:eastAsia="Calibri" w:hAnsi="Calibri"/>
          <w:b/>
          <w:bCs/>
          <w:color w:val="2B2B2B"/>
          <w:sz w:val="22"/>
          <w:szCs w:val="22"/>
        </w:rPr>
        <w:t xml:space="preserve">Local municipal contractor registration (city / number / status):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OCILB license number (if any specialty trades self-performed):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Builder mailing address (for R.C. § 1312.04 notice):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Builder phone /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Project superintendent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Sales agent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Third-party warranty company (RWC, 2-10 Home Buyers Warranty, QBW, other):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Warranty term — workmanship: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systems: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major structural: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HCSSA written contract on file (yes / no):  </w:t>
      </w:r>
      <w:r>
        <w:rPr>
          <w:rFonts w:ascii="Calibri" w:cs="Calibri" w:eastAsia="Calibri" w:hAnsi="Calibri"/>
          <w:color w:val="555555"/>
          <w:sz w:val="22"/>
          <w:szCs w:val="22"/>
        </w:rPr>
        <w:t xml:space="preserve">____________</w:t>
      </w:r>
    </w:p>
    <w:p>
      <w:pPr>
        <w:spacing w:after="80" w:before="80" w:line="300"/>
      </w:pPr>
      <w:r>
        <w:rPr>
          <w:rFonts w:ascii="Calibri" w:cs="Calibri" w:eastAsia="Calibri" w:hAnsi="Calibri"/>
          <w:b/>
          <w:bCs/>
          <w:color w:val="2B2B2B"/>
          <w:sz w:val="22"/>
          <w:szCs w:val="22"/>
        </w:rPr>
        <w:t xml:space="preserve">HCSSA insurance certificate ($250,000 min.) on file (yes / no):  </w:t>
      </w:r>
      <w:r>
        <w:rPr>
          <w:rFonts w:ascii="Calibri" w:cs="Calibri" w:eastAsia="Calibri" w:hAnsi="Calibri"/>
          <w:color w:val="555555"/>
          <w:sz w:val="22"/>
          <w:szCs w:val="22"/>
        </w:rPr>
        <w:t xml:space="preserve">____________</w:t>
      </w:r>
    </w:p>
    <w:p>
      <w:pPr>
        <w:pStyle w:val="Heading2"/>
        <w:keepNext/>
        <w:spacing w:after="100" w:before="220"/>
      </w:pPr>
      <w:r>
        <w:rPr>
          <w:rFonts w:ascii="Calibri" w:cs="Calibri" w:eastAsia="Calibri" w:hAnsi="Calibri"/>
          <w:b/>
          <w:bCs/>
          <w:color w:val="3A3A3A"/>
          <w:sz w:val="26"/>
          <w:szCs w:val="26"/>
        </w:rPr>
        <w:t xml:space="preserve">Subcontractors of interest</w:t>
      </w:r>
    </w:p>
    <w:p>
      <w:pPr>
        <w:spacing w:after="80" w:before="80" w:line="300"/>
      </w:pPr>
      <w:r>
        <w:rPr>
          <w:rFonts w:ascii="Calibri" w:cs="Calibri" w:eastAsia="Calibri" w:hAnsi="Calibri"/>
          <w:b/>
          <w:bCs/>
          <w:color w:val="2B2B2B"/>
          <w:sz w:val="22"/>
          <w:szCs w:val="22"/>
        </w:rPr>
        <w:t xml:space="preserve">Foundation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Framing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Roofing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Plumbing — OCILB license # if any: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Electrical — OCILB license # if any: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HVAC — OCILB license # if any: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Stucco / EIFS / brick / siding: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Other:  </w:t>
      </w:r>
      <w:r>
        <w:rPr>
          <w:rFonts w:ascii="Calibri" w:cs="Calibri" w:eastAsia="Calibri" w:hAnsi="Calibri"/>
          <w:color w:val="555555"/>
          <w:sz w:val="22"/>
          <w:szCs w:val="22"/>
        </w:rPr>
        <w:t xml:space="preserve">____________________________________________________________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3. Documents Checklist</w:t>
      </w:r>
    </w:p>
    <w:p>
      <w:pPr>
        <w:spacing w:after="80" w:before="80" w:line="300"/>
        <w:jc w:val="left"/>
      </w:pPr>
      <w:r>
        <w:rPr>
          <w:rFonts w:ascii="Calibri" w:cs="Calibri" w:eastAsia="Calibri" w:hAnsi="Calibri"/>
          <w:b w:val="false"/>
          <w:bCs w:val="false"/>
          <w:i/>
          <w:iCs/>
          <w:color w:val="555555"/>
          <w:sz w:val="22"/>
          <w:szCs w:val="22"/>
        </w:rPr>
        <w:t xml:space="preserve">Confirm the homeowner has collected each item below. Photograph or scan everything at the end of the appointment.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Purchase and sale agreement / construction contract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HCSSA written contract under R.C. § 4722.02 (for contracts ≥ $25,000)</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HCSSA-required certificate of insurance (general liability ≥ $250,000)</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Closing disclosure and HUD-1 / settlement statement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Limited warranty booklet (RWC, 2-10 Home Buyers Warranty, QBW, builder's own form)</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Any builder's R.C. § 1312.03 right-to-cure disclosure</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change orders, signed addenda, and selection sheets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Final survey and plot plan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Certificate of Occupancy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Building permit and inspection cards (local jurisdiction)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Plans / blueprints / engineered drawings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Soil and termite reports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Manufacturer warranties for appliances, windows, roofing, HVAC</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correspondence with builder (texts, emails, letters, voicemails)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Prior third-party inspection reports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Photographs, videos, and any drone or thermal imagery already taken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Any Ohio AG, BBB, OCILB, or local-code complaints already filed (copies)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Insurance policy declarations page (homeowner's and any builder's risk)</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4. Defect Inventory</w:t>
      </w:r>
    </w:p>
    <w:p>
      <w:pPr>
        <w:spacing w:after="80" w:before="80" w:line="300"/>
        <w:jc w:val="left"/>
      </w:pPr>
      <w:r>
        <w:rPr>
          <w:rFonts w:ascii="Calibri" w:cs="Calibri" w:eastAsia="Calibri" w:hAnsi="Calibri"/>
          <w:b w:val="false"/>
          <w:bCs w:val="false"/>
          <w:i/>
          <w:iCs/>
          <w:color w:val="555555"/>
          <w:sz w:val="22"/>
          <w:szCs w:val="22"/>
        </w:rPr>
        <w:t xml:space="preserve">Use one block per distinct defect. Number each defect to match the photo log. Continue on a blank sheet if more than five defects exist.</w:t>
      </w:r>
    </w:p>
    <w:p>
      <w:pPr>
        <w:pStyle w:val="Heading2"/>
        <w:keepNext/>
        <w:spacing w:after="100" w:before="220"/>
      </w:pPr>
      <w:r>
        <w:rPr>
          <w:rFonts w:ascii="Calibri" w:cs="Calibri" w:eastAsia="Calibri" w:hAnsi="Calibri"/>
          <w:b/>
          <w:bCs/>
          <w:color w:val="3A3A3A"/>
          <w:sz w:val="26"/>
          <w:szCs w:val="26"/>
        </w:rPr>
        <w:t xml:space="preserve">Defect #1</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(workmanlike-manner duty / written warranty / HCSSA / CSPA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#2</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(workmanlike-manner duty / written warranty / HCSSA / CSPA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#3</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(workmanlike-manner duty / written warranty / HCSSA / CSPA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#4</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(workmanlike-manner duty / written warranty / HCSSA / CSPA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#5</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(workmanlike-manner duty / written warranty / HCSSA / CSPA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5. Communications Log</w:t>
      </w:r>
    </w:p>
    <w:p>
      <w:pPr>
        <w:spacing w:after="80" w:before="80" w:line="300"/>
        <w:jc w:val="left"/>
      </w:pPr>
      <w:r>
        <w:rPr>
          <w:rFonts w:ascii="Calibri" w:cs="Calibri" w:eastAsia="Calibri" w:hAnsi="Calibri"/>
          <w:b w:val="false"/>
          <w:bCs w:val="false"/>
          <w:i/>
          <w:iCs/>
          <w:color w:val="555555"/>
          <w:sz w:val="22"/>
          <w:szCs w:val="22"/>
        </w:rPr>
        <w:t xml:space="preserve">Every contact between the homeowner and the builder about defects. Include voicemails, texts, in-person conversations, and emails. Attach copies where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400"/>
        <w:gridCol w:w="1400"/>
        <w:gridCol w:w="5460"/>
      </w:tblGrid>
      <w:tr>
        <w:trPr>
          <w:tblHeader/>
        </w:trPr>
        <w:tc>
          <w:tcPr>
            <w:tcW w:type="dxa" w:w="11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Channel</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From / To</w:t>
            </w:r>
          </w:p>
        </w:tc>
        <w:tc>
          <w:tcPr>
            <w:tcW w:type="dxa" w:w="54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Summary</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6. Photo and Video Log</w:t>
      </w:r>
    </w:p>
    <w:p>
      <w:pPr>
        <w:spacing w:after="80" w:before="80" w:line="300"/>
        <w:jc w:val="left"/>
      </w:pPr>
      <w:r>
        <w:rPr>
          <w:rFonts w:ascii="Calibri" w:cs="Calibri" w:eastAsia="Calibri" w:hAnsi="Calibri"/>
          <w:b w:val="false"/>
          <w:bCs w:val="false"/>
          <w:i/>
          <w:iCs/>
          <w:color w:val="555555"/>
          <w:sz w:val="22"/>
          <w:szCs w:val="22"/>
        </w:rPr>
        <w:t xml:space="preserve">Number each image to match the defect inventory. Store originals with EXIF metadata intact.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200"/>
        <w:gridCol w:w="1500"/>
        <w:gridCol w:w="1900"/>
        <w:gridCol w:w="3860"/>
      </w:tblGrid>
      <w:tr>
        <w:trPr>
          <w:tblHeader/>
        </w:trPr>
        <w:tc>
          <w:tcPr>
            <w:tcW w:type="dxa" w:w="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t>
            </w:r>
          </w:p>
        </w:tc>
        <w:tc>
          <w:tcPr>
            <w:tcW w:type="dxa" w:w="12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Defect #</w:t>
            </w:r>
          </w:p>
        </w:tc>
        <w:tc>
          <w:tcPr>
            <w:tcW w:type="dxa" w:w="1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Location</w:t>
            </w:r>
          </w:p>
        </w:tc>
        <w:tc>
          <w:tcPr>
            <w:tcW w:type="dxa" w:w="3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What it shows</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7. Third-Party Inspection</w:t>
      </w:r>
    </w:p>
    <w:p>
      <w:pPr>
        <w:spacing w:after="80" w:before="80" w:line="300"/>
      </w:pPr>
      <w:r>
        <w:rPr>
          <w:rFonts w:ascii="Calibri" w:cs="Calibri" w:eastAsia="Calibri" w:hAnsi="Calibri"/>
          <w:b/>
          <w:bCs/>
          <w:color w:val="2B2B2B"/>
          <w:sz w:val="22"/>
          <w:szCs w:val="22"/>
        </w:rPr>
        <w:t xml:space="preserve">Inspector / firm name: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Discipline (general home, structural engineer, master plumber, master electrician, HVAC, environmental):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Ohio license / PE number / OCILB license: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inspection: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Inspection fee: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Report delivered (yes / no, date):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Summary of findings (attach full report):  </w:t>
      </w:r>
      <w:r>
        <w:rPr>
          <w:rFonts w:ascii="Calibri" w:cs="Calibri" w:eastAsia="Calibri" w:hAnsi="Calibri"/>
          <w:color w:val="555555"/>
          <w:sz w:val="22"/>
          <w:szCs w:val="22"/>
        </w:rPr>
        <w:t xml:space="preserve">_________________________________________________________________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8. Regulatory Filings</w:t>
      </w:r>
    </w:p>
    <w:p>
      <w:pPr>
        <w:spacing w:after="80" w:before="80" w:line="300"/>
        <w:jc w:val="left"/>
      </w:pPr>
      <w:r>
        <w:rPr>
          <w:rFonts w:ascii="Calibri" w:cs="Calibri" w:eastAsia="Calibri" w:hAnsi="Calibri"/>
          <w:b w:val="false"/>
          <w:bCs w:val="false"/>
          <w:i/>
          <w:iCs/>
          <w:color w:val="555555"/>
          <w:sz w:val="22"/>
          <w:szCs w:val="22"/>
        </w:rPr>
        <w:t xml:space="preserve">Check each filing that has been made and record the reference number and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500"/>
        <w:gridCol w:w="1860"/>
      </w:tblGrid>
      <w:tr>
        <w:trPr>
          <w:tblHeader/>
        </w:trPr>
        <w:tc>
          <w:tcPr>
            <w:tcW w:type="dxa" w:w="4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Forum</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Filed?</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Date</w:t>
            </w:r>
          </w:p>
        </w:tc>
        <w:tc>
          <w:tcPr>
            <w:tcW w:type="dxa" w:w="1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Reference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R.C. § 1312.04 60-day notice to builder (certified mail recommended)</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Ohio Attorney General — Consumer Protection complaint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Ohio Department of Commerce — Division of Industrial Compliance (for OCILB trades)</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OCILB license complaint (specialty trades)</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Local Building Department / code enforcement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Better Business Bureau</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HBA local chapter (HBA Greater Cincinnati / Central Ohio / BIA-NEO etc.)</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Civil lawsuit (Small Claims / Municipal Court / Common Pleas)</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9. Homeowner's Desired Remedy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the builder under the limited warranty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an independent contractor at the builder's cost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Cash payment representing cost of repair</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Cash payment representing diminution in fair market value</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Refund / rescission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CSPA actual damages plus treble damages and attorney's fees (where applicable)</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HCSSA actual damages (capped non-economic damages at $5,000)</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OCILB license discipline (reprimand, fine, suspension, revocation) for specialty trades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Other (describe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80" w:before="80" w:line="300"/>
      </w:pPr>
      <w:r>
        <w:rPr>
          <w:rFonts w:ascii="Calibri" w:cs="Calibri" w:eastAsia="Calibri" w:hAnsi="Calibri"/>
          <w:b/>
          <w:bCs/>
          <w:color w:val="2B2B2B"/>
          <w:sz w:val="22"/>
          <w:szCs w:val="22"/>
        </w:rPr>
        <w:t xml:space="preserve">Estimated dollar value of remedy demanded: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Deadline by which homeowner wants resolution:  </w:t>
      </w:r>
      <w:r>
        <w:rPr>
          <w:rFonts w:ascii="Calibri" w:cs="Calibri" w:eastAsia="Calibri" w:hAnsi="Calibri"/>
          <w:color w:val="555555"/>
          <w:sz w:val="22"/>
          <w:szCs w:val="22"/>
        </w:rPr>
        <w:t xml:space="preserve">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10. Critical Deadlines</w:t>
      </w:r>
    </w:p>
    <w:p>
      <w:pPr>
        <w:spacing w:after="80" w:before="80" w:line="300"/>
        <w:jc w:val="left"/>
      </w:pPr>
      <w:r>
        <w:rPr>
          <w:rFonts w:ascii="Calibri" w:cs="Calibri" w:eastAsia="Calibri" w:hAnsi="Calibri"/>
          <w:b w:val="false"/>
          <w:bCs w:val="false"/>
          <w:i/>
          <w:iCs/>
          <w:color w:val="555555"/>
          <w:sz w:val="22"/>
          <w:szCs w:val="22"/>
        </w:rPr>
        <w:t xml:space="preserve">Record the dates and corresponding statutory or contractual clocks. The earliest-expiring clock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360"/>
      </w:tblGrid>
      <w:tr>
        <w:trPr>
          <w:tblHeader/>
        </w:trPr>
        <w:tc>
          <w:tcPr>
            <w:tcW w:type="dxa" w:w="36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Clock</w:t>
            </w:r>
          </w:p>
        </w:tc>
        <w:tc>
          <w:tcPr>
            <w:tcW w:type="dxa" w:w="2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date</w:t>
            </w:r>
          </w:p>
        </w:tc>
        <w:tc>
          <w:tcPr>
            <w:tcW w:type="dxa" w:w="33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Expires on</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R.C. § 1312.04 — 60-day notice prerequisite</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Builder's 21-day written response window (R.C. § 1312.05)</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Velotta tort claim — 4 years from accrual / discovery (§ 2305.09)</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Written contract — 6 years from breach (§ 2305.06)</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Oral / implied contract — 4 years (§ 2305.07)</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CSPA — 2 years from violation (§ 1345.10)</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Statute of repose — 10 years from substantial completion (§ 2305.131)</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Contractual notice / right-to-inspect window in limited warranty</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11. Signatures</w:t>
      </w:r>
    </w:p>
    <w:p>
      <w:pPr>
        <w:spacing w:after="80" w:before="80" w:line="300"/>
        <w:jc w:val="left"/>
      </w:pPr>
      <w:r>
        <w:rPr>
          <w:rFonts w:ascii="Calibri" w:cs="Calibri" w:eastAsia="Calibri" w:hAnsi="Calibri"/>
          <w:b w:val="false"/>
          <w:bCs w:val="false"/>
          <w:i w:val="false"/>
          <w:iCs w:val="false"/>
          <w:color w:val="2B2B2B"/>
          <w:sz w:val="22"/>
          <w:szCs w:val="22"/>
        </w:rPr>
        <w:t xml:space="preserve">By signing, the homeowner confirms that the information recorded above is true and complete to the best of the homeowner's knowledge, and authorizes the person assisting with the walkthrough to use the information solely for the purpose of evaluating and pursuing a builder defect claim.</w:t>
      </w:r>
    </w:p>
    <w:p>
      <w:pPr>
        <w:spacing w:before="240"/>
      </w:pPr>
    </w:p>
    <w:p>
      <w:pPr>
        <w:spacing w:after="80" w:before="80" w:line="300"/>
      </w:pPr>
      <w:r>
        <w:rPr>
          <w:rFonts w:ascii="Calibri" w:cs="Calibri" w:eastAsia="Calibri" w:hAnsi="Calibri"/>
          <w:b/>
          <w:bCs/>
          <w:color w:val="2B2B2B"/>
          <w:sz w:val="22"/>
          <w:szCs w:val="22"/>
        </w:rPr>
        <w:t xml:space="preserve">Homeowner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Person assisting with walkthrough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Role: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Interpreter (if any)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Certification (RID / BEI / state):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12. Reminder</w:t>
      </w:r>
    </w:p>
    <w:p>
      <w:pPr>
        <w:spacing w:after="80" w:before="80" w:line="300"/>
        <w:jc w:val="left"/>
      </w:pPr>
      <w:r>
        <w:rPr>
          <w:rFonts w:ascii="Calibri" w:cs="Calibri" w:eastAsia="Calibri" w:hAnsi="Calibri"/>
          <w:b w:val="false"/>
          <w:bCs w:val="false"/>
          <w:i w:val="false"/>
          <w:iCs w:val="false"/>
          <w:color w:val="2B2B2B"/>
          <w:sz w:val="22"/>
          <w:szCs w:val="22"/>
        </w:rPr>
        <w:t xml:space="preserve">This form is a general intake tool. It does not create an attorney–client relationship and is not legal advice. Before any R.C. § 1312.04 notice, demand letter, complaint, or lawsuit is filed, the information collected here should be reviewed by a licensed Ohio attorney. Statutory deadlines should be confirmed against current authority. See the companion Ohio New Home Construction Warranty Reference for citations and procedure.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 General reference,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55555"/>
        <w:sz w:val="18"/>
        <w:szCs w:val="18"/>
      </w:rPr>
      <w:t xml:space="preserve">Ohio Builder Defect Walkthrough Intake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Calibri" w:cs="Calibri" w:eastAsia="Calibri" w:hAnsi="Calibri"/>
      <w:b/>
      <w:bCs/>
      <w:color w:val="2B2B2B"/>
      <w:sz w:val="32"/>
      <w:szCs w:val="32"/>
    </w:rPr>
  </w:style>
  <w:style w:type="paragraph" w:styleId="Heading2">
    <w:name w:val="Heading 2"/>
    <w:basedOn w:val="Normal"/>
    <w:next w:val="Normal"/>
    <w:qFormat/>
    <w:pPr>
      <w:spacing w:after="100" w:before="220"/>
      <w:outlineLvl w:val="1"/>
    </w:pPr>
    <w:rPr>
      <w:rFonts w:ascii="Calibri" w:cs="Calibri" w:eastAsia="Calibri" w:hAnsi="Calibri"/>
      <w:b/>
      <w:bCs/>
      <w:color w:val="3A3A3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Builder Defect Walkthrough Intake Form</dc:title>
  <dc:creator>New Build Warranty Reference</dc:creator>
  <cp:lastModifiedBy>Un-named</cp:lastModifiedBy>
  <cp:revision>1</cp:revision>
  <dcterms:created xsi:type="dcterms:W3CDTF">2026-05-21T21:05:16.128Z</dcterms:created>
  <dcterms:modified xsi:type="dcterms:W3CDTF">2026-05-21T21:05:16.129Z</dcterms:modified>
</cp:coreProperties>
</file>

<file path=docProps/custom.xml><?xml version="1.0" encoding="utf-8"?>
<Properties xmlns="http://schemas.openxmlformats.org/officeDocument/2006/custom-properties" xmlns:vt="http://schemas.openxmlformats.org/officeDocument/2006/docPropsVTypes"/>
</file>