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center"/>
      </w:pPr>
      <w:r>
        <w:rPr>
          <w:rFonts w:ascii="Calibri" w:cs="Calibri" w:eastAsia="Calibri" w:hAnsi="Calibri"/>
          <w:b/>
          <w:bCs/>
          <w:color w:val="2B2B2B"/>
          <w:sz w:val="60"/>
          <w:szCs w:val="60"/>
        </w:rPr>
        <w:t xml:space="preserve">OKLAHOMA</w:t>
      </w:r>
    </w:p>
    <w:p>
      <w:pPr>
        <w:spacing w:after="120"/>
        <w:jc w:val="center"/>
      </w:pPr>
      <w:r>
        <w:rPr>
          <w:rFonts w:ascii="Calibri" w:cs="Calibri" w:eastAsia="Calibri" w:hAnsi="Calibri"/>
          <w:b/>
          <w:bCs/>
          <w:color w:val="2B2B2B"/>
          <w:sz w:val="36"/>
          <w:szCs w:val="36"/>
        </w:rPr>
        <w:t xml:space="preserve">Builder Defect Walkthrough Intake Form</w:t>
      </w:r>
    </w:p>
    <w:p>
      <w:pPr>
        <w:spacing w:after="720"/>
        <w:jc w:val="center"/>
      </w:pPr>
      <w:r>
        <w:rPr>
          <w:rFonts w:ascii="Calibri" w:cs="Calibri" w:eastAsia="Calibri" w:hAnsi="Calibri"/>
          <w:i/>
          <w:iCs/>
          <w:color w:val="555555"/>
          <w:sz w:val="24"/>
          <w:szCs w:val="24"/>
        </w:rPr>
        <w:t xml:space="preserve">A printable companion to the Oklahoma New Home Construction Warranty Reference</w:t>
      </w:r>
    </w:p>
    <w:p>
      <w:pPr>
        <w:spacing w:after="80"/>
        <w:jc w:val="center"/>
      </w:pPr>
      <w:r>
        <w:rPr>
          <w:rFonts w:ascii="Calibri" w:cs="Calibri" w:eastAsia="Calibri" w:hAnsi="Calibri"/>
          <w:color w:val="555555"/>
          <w:sz w:val="22"/>
          <w:szCs w:val="22"/>
        </w:rPr>
        <w:t xml:space="preserve">Use this form during the on-site walkthrough with the homeowner. Capture details while the evidence is fresh.</w:t>
      </w:r>
    </w:p>
    <w:p>
      <w:pPr>
        <w:spacing w:after="1200"/>
        <w:jc w:val="center"/>
      </w:pPr>
      <w:r>
        <w:rPr>
          <w:rFonts w:ascii="Calibri" w:cs="Calibri" w:eastAsia="Calibri" w:hAnsi="Calibri"/>
          <w:i/>
          <w:iCs/>
          <w:color w:val="555555"/>
          <w:sz w:val="20"/>
          <w:szCs w:val="20"/>
        </w:rPr>
        <w:t xml:space="preserve">Not legal advice — verify deadlines and remedies with a licensed Oklahoma attorney.</w:t>
      </w:r>
    </w:p>
    <w:p>
      <w:pPr>
        <w:jc w:val="center"/>
      </w:pPr>
      <w:r>
        <w:rPr>
          <w:rFonts w:ascii="Calibri" w:cs="Calibri" w:eastAsia="Calibri" w:hAnsi="Calibri"/>
          <w:color w:val="555555"/>
          <w:sz w:val="20"/>
          <w:szCs w:val="20"/>
        </w:rPr>
        <w:t xml:space="preserve">Edition: May 2026</w:t>
      </w:r>
    </w:p>
    <w:p>
      <w:r>
        <w:br w:type="page"/>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Accessibility Note</w:t>
      </w:r>
    </w:p>
    <w:p>
      <w:pPr>
        <w:spacing w:after="80" w:before="80" w:line="300"/>
        <w:jc w:val="left"/>
      </w:pPr>
      <w:r>
        <w:rPr>
          <w:rFonts w:ascii="Calibri" w:cs="Calibri" w:eastAsia="Calibri" w:hAnsi="Calibri"/>
          <w:b w:val="false"/>
          <w:bCs w:val="false"/>
          <w:i w:val="false"/>
          <w:iCs w:val="false"/>
          <w:color w:val="2B2B2B"/>
          <w:sz w:val="22"/>
          <w:szCs w:val="22"/>
        </w:rPr>
        <w:t xml:space="preserve">This walkthrough should be made accessible to Deaf, hard-of-hearing, DeafBlind, and other homeowners who use American Sign Language or who otherwise need accommodation. Arrange a qualified ASL interpreter or Video Remote Interpreting (VRI) in advance, allow extra time for the visit, ensure good lighting for sightlines, and confirm the homeowner's preferred mode of communication at the start. Any technical or legal terms used during the walkthrough should be confirmed in plain language before they are entered on this form.</w:t>
      </w:r>
    </w:p>
    <w:p>
      <w:pPr>
        <w:spacing w:after="80" w:before="80" w:line="300"/>
        <w:jc w:val="left"/>
      </w:pPr>
      <w:r>
        <w:rPr>
          <w:rFonts w:ascii="Calibri" w:cs="Calibri" w:eastAsia="Calibri" w:hAnsi="Calibri"/>
          <w:b w:val="false"/>
          <w:bCs w:val="false"/>
          <w:i w:val="false"/>
          <w:iCs w:val="false"/>
          <w:color w:val="2B2B2B"/>
          <w:sz w:val="22"/>
          <w:szCs w:val="22"/>
        </w:rPr>
        <w:t xml:space="preserve"> </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 Homeowner and Property Information</w:t>
      </w:r>
    </w:p>
    <w:p>
      <w:pPr>
        <w:spacing w:after="80" w:before="80" w:line="300"/>
      </w:pPr>
      <w:r>
        <w:rPr>
          <w:rFonts w:ascii="Calibri" w:cs="Calibri" w:eastAsia="Calibri" w:hAnsi="Calibri"/>
          <w:b/>
          <w:bCs/>
          <w:color w:val="2B2B2B"/>
          <w:sz w:val="22"/>
          <w:szCs w:val="22"/>
        </w:rPr>
        <w:t xml:space="preserve">Homeowner full name(s):  </w:t>
      </w:r>
      <w:r>
        <w:rPr>
          <w:rFonts w:ascii="Calibri" w:cs="Calibri" w:eastAsia="Calibri" w:hAnsi="Calibri"/>
          <w:color w:val="555555"/>
          <w:sz w:val="22"/>
          <w:szCs w:val="22"/>
        </w:rPr>
        <w:t xml:space="preserve">______________________________________________________________________</w:t>
      </w:r>
    </w:p>
    <w:p>
      <w:pPr>
        <w:spacing w:after="80" w:before="80" w:line="300"/>
      </w:pPr>
      <w:r>
        <w:rPr>
          <w:rFonts w:ascii="Calibri" w:cs="Calibri" w:eastAsia="Calibri" w:hAnsi="Calibri"/>
          <w:b/>
          <w:bCs/>
          <w:color w:val="2B2B2B"/>
          <w:sz w:val="22"/>
          <w:szCs w:val="22"/>
        </w:rPr>
        <w:t xml:space="preserve">Property address:  </w:t>
      </w:r>
      <w:r>
        <w:rPr>
          <w:rFonts w:ascii="Calibri" w:cs="Calibri" w:eastAsia="Calibri" w:hAnsi="Calibri"/>
          <w:color w:val="555555"/>
          <w:sz w:val="22"/>
          <w:szCs w:val="22"/>
        </w:rPr>
        <w:t xml:space="preserve">___________________________________________________________________________</w:t>
      </w:r>
    </w:p>
    <w:p>
      <w:pPr>
        <w:spacing w:after="80" w:before="80" w:line="300"/>
      </w:pPr>
      <w:r>
        <w:rPr>
          <w:rFonts w:ascii="Calibri" w:cs="Calibri" w:eastAsia="Calibri" w:hAnsi="Calibri"/>
          <w:b/>
          <w:bCs/>
          <w:color w:val="2B2B2B"/>
          <w:sz w:val="22"/>
          <w:szCs w:val="22"/>
        </w:rPr>
        <w:t xml:space="preserve">County: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substantial completion (critical — 12 O.S. § 109 repose clock starts here):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first occupancy: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closing: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homeowner first noticed each defect (see Defect Inventory):  </w:t>
      </w:r>
      <w:r>
        <w:rPr>
          <w:rFonts w:ascii="Calibri" w:cs="Calibri" w:eastAsia="Calibri" w:hAnsi="Calibri"/>
          <w:color w:val="555555"/>
          <w:sz w:val="22"/>
          <w:szCs w:val="22"/>
        </w:rPr>
        <w:t xml:space="preserve">________________________________________</w:t>
      </w:r>
    </w:p>
    <w:p>
      <w:pPr>
        <w:spacing w:after="80" w:before="80" w:line="300"/>
      </w:pPr>
      <w:r>
        <w:rPr>
          <w:rFonts w:ascii="Calibri" w:cs="Calibri" w:eastAsia="Calibri" w:hAnsi="Calibri"/>
          <w:b/>
          <w:bCs/>
          <w:color w:val="2B2B2B"/>
          <w:sz w:val="22"/>
          <w:szCs w:val="22"/>
        </w:rPr>
        <w:t xml:space="preserve">Homeowner phone: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Homeowner email: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Preferred mode of communication (ASL / written / spoken English / other):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Interpreter or VRI used today (provider / contact):  </w:t>
      </w:r>
      <w:r>
        <w:rPr>
          <w:rFonts w:ascii="Calibri" w:cs="Calibri" w:eastAsia="Calibri" w:hAnsi="Calibri"/>
          <w:color w:val="555555"/>
          <w:sz w:val="22"/>
          <w:szCs w:val="22"/>
        </w:rPr>
        <w:t xml:space="preserve">__________________________________________________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2. Builder and Subcontractor Information</w:t>
      </w:r>
    </w:p>
    <w:p>
      <w:pPr>
        <w:spacing w:after="80" w:before="80" w:line="300"/>
      </w:pPr>
      <w:r>
        <w:rPr>
          <w:rFonts w:ascii="Calibri" w:cs="Calibri" w:eastAsia="Calibri" w:hAnsi="Calibri"/>
          <w:b/>
          <w:bCs/>
          <w:color w:val="2B2B2B"/>
          <w:sz w:val="22"/>
          <w:szCs w:val="22"/>
        </w:rPr>
        <w:t xml:space="preserve">Builder / company name:  </w:t>
      </w:r>
      <w:r>
        <w:rPr>
          <w:rFonts w:ascii="Calibri" w:cs="Calibri" w:eastAsia="Calibri" w:hAnsi="Calibri"/>
          <w:color w:val="555555"/>
          <w:sz w:val="22"/>
          <w:szCs w:val="22"/>
        </w:rPr>
        <w:t xml:space="preserve">_________________________________________________________________</w:t>
      </w:r>
    </w:p>
    <w:p>
      <w:pPr>
        <w:spacing w:after="80" w:before="80" w:line="300"/>
      </w:pPr>
      <w:r>
        <w:rPr>
          <w:rFonts w:ascii="Calibri" w:cs="Calibri" w:eastAsia="Calibri" w:hAnsi="Calibri"/>
          <w:b/>
          <w:bCs/>
          <w:color w:val="2B2B2B"/>
          <w:sz w:val="22"/>
          <w:szCs w:val="22"/>
        </w:rPr>
        <w:t xml:space="preserve">State of incorporation / Oklahoma Secretary of State entity number:  </w:t>
      </w:r>
      <w:r>
        <w:rPr>
          <w:rFonts w:ascii="Calibri" w:cs="Calibri" w:eastAsia="Calibri" w:hAnsi="Calibri"/>
          <w:color w:val="555555"/>
          <w:sz w:val="22"/>
          <w:szCs w:val="22"/>
        </w:rPr>
        <w:t xml:space="preserve">________________________________________</w:t>
      </w:r>
    </w:p>
    <w:p>
      <w:pPr>
        <w:spacing w:after="80" w:before="80" w:line="300"/>
      </w:pPr>
      <w:r>
        <w:rPr>
          <w:rFonts w:ascii="Calibri" w:cs="Calibri" w:eastAsia="Calibri" w:hAnsi="Calibri"/>
          <w:b/>
          <w:bCs/>
          <w:color w:val="2B2B2B"/>
          <w:sz w:val="22"/>
          <w:szCs w:val="22"/>
        </w:rPr>
        <w:t xml:space="preserve">Local municipal contractor registration (OKC / Tulsa / Norman / Edmond / Broken Arrow / etc.):  </w:t>
      </w:r>
      <w:r>
        <w:rPr>
          <w:rFonts w:ascii="Calibri" w:cs="Calibri" w:eastAsia="Calibri" w:hAnsi="Calibri"/>
          <w:color w:val="555555"/>
          <w:sz w:val="22"/>
          <w:szCs w:val="22"/>
        </w:rPr>
        <w:t xml:space="preserve">________________________________________</w:t>
      </w:r>
    </w:p>
    <w:p>
      <w:pPr>
        <w:spacing w:after="80" w:before="80" w:line="300"/>
      </w:pPr>
      <w:r>
        <w:rPr>
          <w:rFonts w:ascii="Calibri" w:cs="Calibri" w:eastAsia="Calibri" w:hAnsi="Calibri"/>
          <w:b/>
          <w:bCs/>
          <w:color w:val="2B2B2B"/>
          <w:sz w:val="22"/>
          <w:szCs w:val="22"/>
        </w:rPr>
        <w:t xml:space="preserve">Builder mailing address (for any contractual § 765.6 notice; certified mail return receipt):  </w:t>
      </w:r>
      <w:r>
        <w:rPr>
          <w:rFonts w:ascii="Calibri" w:cs="Calibri" w:eastAsia="Calibri" w:hAnsi="Calibri"/>
          <w:color w:val="555555"/>
          <w:sz w:val="22"/>
          <w:szCs w:val="22"/>
        </w:rPr>
        <w:t xml:space="preserve">_________________________________________________________________</w:t>
      </w:r>
    </w:p>
    <w:p>
      <w:pPr>
        <w:spacing w:after="80" w:before="80" w:line="300"/>
      </w:pPr>
      <w:r>
        <w:rPr>
          <w:rFonts w:ascii="Calibri" w:cs="Calibri" w:eastAsia="Calibri" w:hAnsi="Calibri"/>
          <w:b/>
          <w:bCs/>
          <w:color w:val="2B2B2B"/>
          <w:sz w:val="22"/>
          <w:szCs w:val="22"/>
        </w:rPr>
        <w:t xml:space="preserve">Builder phone / email: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Project superintendent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Sales agent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Construction contract date: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Pre- or post-November 1, 2023 contract (controls § 765.6 amendment version):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Limited warranty type (builder's own form / 2-10 HBW / RWC / StrucSure / QBW / other):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Is the builder an OkHBA Certified Professional Builder? (yes / no):  </w:t>
      </w:r>
      <w:r>
        <w:rPr>
          <w:rFonts w:ascii="Calibri" w:cs="Calibri" w:eastAsia="Calibri" w:hAnsi="Calibri"/>
          <w:color w:val="555555"/>
          <w:sz w:val="22"/>
          <w:szCs w:val="22"/>
        </w:rPr>
        <w:t xml:space="preserve">____________</w:t>
      </w:r>
    </w:p>
    <w:p>
      <w:pPr>
        <w:spacing w:after="80" w:before="80" w:line="300"/>
      </w:pPr>
      <w:r>
        <w:rPr>
          <w:rFonts w:ascii="Calibri" w:cs="Calibri" w:eastAsia="Calibri" w:hAnsi="Calibri"/>
          <w:b/>
          <w:bCs/>
          <w:color w:val="2B2B2B"/>
          <w:sz w:val="22"/>
          <w:szCs w:val="22"/>
        </w:rPr>
        <w:t xml:space="preserve">Warranty term — workmanship and materials: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Warranty term — plumbing / electrical / HVAC delivery: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Warranty term — major structural: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Does the contract contain a § 765.6 notice-and-cure clause? (yes / no — controls whether pre-suit notice is required):  </w:t>
      </w:r>
      <w:r>
        <w:rPr>
          <w:rFonts w:ascii="Calibri" w:cs="Calibri" w:eastAsia="Calibri" w:hAnsi="Calibri"/>
          <w:color w:val="555555"/>
          <w:sz w:val="22"/>
          <w:szCs w:val="22"/>
        </w:rPr>
        <w:t xml:space="preserve">____________</w:t>
      </w:r>
    </w:p>
    <w:p>
      <w:pPr>
        <w:pStyle w:val="Heading2"/>
        <w:keepNext/>
        <w:spacing w:after="100" w:before="220"/>
      </w:pPr>
      <w:r>
        <w:rPr>
          <w:rFonts w:ascii="Calibri" w:cs="Calibri" w:eastAsia="Calibri" w:hAnsi="Calibri"/>
          <w:b/>
          <w:bCs/>
          <w:color w:val="3A3A3A"/>
          <w:sz w:val="26"/>
          <w:szCs w:val="26"/>
        </w:rPr>
        <w:t xml:space="preserve">Subcontractors of interest</w:t>
      </w:r>
    </w:p>
    <w:p>
      <w:pPr>
        <w:spacing w:after="80" w:before="80" w:line="300"/>
      </w:pPr>
      <w:r>
        <w:rPr>
          <w:rFonts w:ascii="Calibri" w:cs="Calibri" w:eastAsia="Calibri" w:hAnsi="Calibri"/>
          <w:b/>
          <w:bCs/>
          <w:color w:val="2B2B2B"/>
          <w:sz w:val="22"/>
          <w:szCs w:val="22"/>
        </w:rPr>
        <w:t xml:space="preserve">Foundation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Framing contractor: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Roofing contractor — Roofing Contractor Registration # (59 O.S. § 1151.1):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Plumbing — CIB license #: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Electrical — CIB license #: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HVAC / mechanical — CIB license #: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Stucco / brick / siding: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Other:  </w:t>
      </w:r>
      <w:r>
        <w:rPr>
          <w:rFonts w:ascii="Calibri" w:cs="Calibri" w:eastAsia="Calibri" w:hAnsi="Calibri"/>
          <w:color w:val="555555"/>
          <w:sz w:val="22"/>
          <w:szCs w:val="22"/>
        </w:rPr>
        <w:t xml:space="preserve">____________________________________________________________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3. Documents Checklist</w:t>
      </w:r>
    </w:p>
    <w:p>
      <w:pPr>
        <w:spacing w:after="80" w:before="80" w:line="300"/>
        <w:jc w:val="left"/>
      </w:pPr>
      <w:r>
        <w:rPr>
          <w:rFonts w:ascii="Calibri" w:cs="Calibri" w:eastAsia="Calibri" w:hAnsi="Calibri"/>
          <w:b w:val="false"/>
          <w:bCs w:val="false"/>
          <w:i/>
          <w:iCs/>
          <w:color w:val="555555"/>
          <w:sz w:val="22"/>
          <w:szCs w:val="22"/>
        </w:rPr>
        <w:t xml:space="preserve">Confirm the homeowner has collected each item below. Photograph or scan everything at the end of the appointment.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Purchase and sale agreement / construction contract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Any § 765.6 notice-and-cure clause within the contract (highlight the page if present)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Closing disclosure and HUD-1 / settlement statement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Limited warranty booklet (builder's own form / 2-10 HBW / RWC / StrucSure / QBW)</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Any builder's written disclaimer of the implied warranty (often a separate page)</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All change orders, signed addenda, and selection sheets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Final survey and plot plan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Certificate of Occupancy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Building permit and inspection cards (from local city / county)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Plans / blueprints / engineered drawings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Termite, soil, and foundation reports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Manufacturer warranties for appliances, windows, roofing, HVAC</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All correspondence with builder (texts, emails, letters, voicemails)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Prior third-party inspection reports (CIB-licensed home inspector preferred)</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Photographs, videos, and any drone or thermal imagery already taken</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Any CIB, AG, Insurance Department, BBB, or local-code complaints already filed (copies)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Insurance policy declarations page (homeowner's and any builder's risk)</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4. Defect Inventory</w:t>
      </w:r>
    </w:p>
    <w:p>
      <w:pPr>
        <w:spacing w:after="80" w:before="80" w:line="300"/>
        <w:jc w:val="left"/>
      </w:pPr>
      <w:r>
        <w:rPr>
          <w:rFonts w:ascii="Calibri" w:cs="Calibri" w:eastAsia="Calibri" w:hAnsi="Calibri"/>
          <w:b w:val="false"/>
          <w:bCs w:val="false"/>
          <w:i/>
          <w:iCs/>
          <w:color w:val="555555"/>
          <w:sz w:val="22"/>
          <w:szCs w:val="22"/>
        </w:rPr>
        <w:t xml:space="preserve">Use one block per distinct defect. Number each defect to match the photo log. Continue on a blank sheet if more than five defects exist.</w:t>
      </w:r>
    </w:p>
    <w:p>
      <w:pPr>
        <w:pStyle w:val="Heading2"/>
        <w:keepNext/>
        <w:spacing w:after="100" w:before="220"/>
      </w:pPr>
      <w:r>
        <w:rPr>
          <w:rFonts w:ascii="Calibri" w:cs="Calibri" w:eastAsia="Calibri" w:hAnsi="Calibri"/>
          <w:b/>
          <w:bCs/>
          <w:color w:val="3A3A3A"/>
          <w:sz w:val="26"/>
          <w:szCs w:val="26"/>
        </w:rPr>
        <w:t xml:space="preserve">Defect #1</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OCPA / written contract / negligence / fraud):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#2</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OCPA / written contract / negligence / fraud):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#3</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OCPA / written contract / negligence / fraud):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#4</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OCPA / written contract / negligence / fraud):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2"/>
        <w:keepNext/>
        <w:spacing w:after="100" w:before="220"/>
      </w:pPr>
      <w:r>
        <w:rPr>
          <w:rFonts w:ascii="Calibri" w:cs="Calibri" w:eastAsia="Calibri" w:hAnsi="Calibri"/>
          <w:b/>
          <w:bCs/>
          <w:color w:val="3A3A3A"/>
          <w:sz w:val="26"/>
          <w:szCs w:val="26"/>
        </w:rPr>
        <w:t xml:space="preserve">Defect #5</w:t>
      </w:r>
    </w:p>
    <w:p>
      <w:pPr>
        <w:spacing w:after="80" w:before="80" w:line="300"/>
      </w:pPr>
      <w:r>
        <w:rPr>
          <w:rFonts w:ascii="Calibri" w:cs="Calibri" w:eastAsia="Calibri" w:hAnsi="Calibri"/>
          <w:b/>
          <w:bCs/>
          <w:color w:val="2B2B2B"/>
          <w:sz w:val="22"/>
          <w:szCs w:val="22"/>
        </w:rPr>
        <w:t xml:space="preserve">Room / location in home:  </w:t>
      </w:r>
      <w:r>
        <w:rPr>
          <w:rFonts w:ascii="Calibri" w:cs="Calibri" w:eastAsia="Calibri" w:hAnsi="Calibri"/>
          <w:color w:val="555555"/>
          <w:sz w:val="22"/>
          <w:szCs w:val="22"/>
        </w:rPr>
        <w:t xml:space="preserve">_______________________________________________________</w:t>
      </w:r>
    </w:p>
    <w:p>
      <w:pPr>
        <w:spacing w:after="80" w:before="80" w:line="300"/>
      </w:pPr>
      <w:r>
        <w:rPr>
          <w:rFonts w:ascii="Calibri" w:cs="Calibri" w:eastAsia="Calibri" w:hAnsi="Calibri"/>
          <w:b/>
          <w:bCs/>
          <w:color w:val="2B2B2B"/>
          <w:sz w:val="22"/>
          <w:szCs w:val="22"/>
        </w:rPr>
        <w:t xml:space="preserve">Date homeowner first noticed: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Claim track (implied warranty / OCPA / written contract / negligence / fraud):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Severity (cosmetic / functional / habitability / safety):  </w:t>
      </w:r>
      <w:r>
        <w:rPr>
          <w:rFonts w:ascii="Calibri" w:cs="Calibri" w:eastAsia="Calibri" w:hAnsi="Calibri"/>
          <w:color w:val="555555"/>
          <w:sz w:val="22"/>
          <w:szCs w:val="22"/>
        </w:rPr>
        <w:t xml:space="preserve">______________________________</w:t>
      </w:r>
    </w:p>
    <w:p>
      <w:pPr>
        <w:spacing w:after="40" w:before="80"/>
      </w:pPr>
      <w:r>
        <w:rPr>
          <w:rFonts w:ascii="Calibri" w:cs="Calibri" w:eastAsia="Calibri" w:hAnsi="Calibri"/>
          <w:b/>
          <w:bCs/>
          <w:color w:val="2B2B2B"/>
          <w:sz w:val="22"/>
          <w:szCs w:val="22"/>
        </w:rPr>
        <w:t xml:space="preserve">Description of the defect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Photo / video reference numbers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5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Prior communications with builder about this defect (dates, channel,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40" w:before="120"/>
      </w:pPr>
      <w:r>
        <w:rPr>
          <w:rFonts w:ascii="Calibri" w:cs="Calibri" w:eastAsia="Calibri" w:hAnsi="Calibri"/>
          <w:b/>
          <w:bCs/>
          <w:color w:val="2B2B2B"/>
          <w:sz w:val="22"/>
          <w:szCs w:val="22"/>
        </w:rPr>
        <w:t xml:space="preserve">Builder's response (verbal / written / none)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5. Communications Log</w:t>
      </w:r>
    </w:p>
    <w:p>
      <w:pPr>
        <w:spacing w:after="80" w:before="80" w:line="300"/>
        <w:jc w:val="left"/>
      </w:pPr>
      <w:r>
        <w:rPr>
          <w:rFonts w:ascii="Calibri" w:cs="Calibri" w:eastAsia="Calibri" w:hAnsi="Calibri"/>
          <w:b w:val="false"/>
          <w:bCs w:val="false"/>
          <w:i/>
          <w:iCs/>
          <w:color w:val="555555"/>
          <w:sz w:val="22"/>
          <w:szCs w:val="22"/>
        </w:rPr>
        <w:t xml:space="preserve">Every contact between the homeowner and the builder about defects. Include voicemails, texts, in-person conversations, and emails. Attach copies where available.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100"/>
        <w:gridCol w:w="1400"/>
        <w:gridCol w:w="1400"/>
        <w:gridCol w:w="5460"/>
      </w:tblGrid>
      <w:tr>
        <w:trPr>
          <w:tblHeader/>
        </w:trPr>
        <w:tc>
          <w:tcPr>
            <w:tcW w:type="dxa" w:w="11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Date</w:t>
            </w:r>
          </w:p>
        </w:tc>
        <w:tc>
          <w:tcPr>
            <w:tcW w:type="dxa" w:w="1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Channel</w:t>
            </w:r>
          </w:p>
        </w:tc>
        <w:tc>
          <w:tcPr>
            <w:tcW w:type="dxa" w:w="1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From / To</w:t>
            </w:r>
          </w:p>
        </w:tc>
        <w:tc>
          <w:tcPr>
            <w:tcW w:type="dxa" w:w="54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Summary</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500" w:hRule="atLeast"/>
        </w:trPr>
        <w:tc>
          <w:tcPr>
            <w:tcW w:type="dxa" w:w="11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54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6. Photo and Video Log</w:t>
      </w:r>
    </w:p>
    <w:p>
      <w:pPr>
        <w:spacing w:after="80" w:before="80" w:line="300"/>
        <w:jc w:val="left"/>
      </w:pPr>
      <w:r>
        <w:rPr>
          <w:rFonts w:ascii="Calibri" w:cs="Calibri" w:eastAsia="Calibri" w:hAnsi="Calibri"/>
          <w:b w:val="false"/>
          <w:bCs w:val="false"/>
          <w:i/>
          <w:iCs/>
          <w:color w:val="555555"/>
          <w:sz w:val="22"/>
          <w:szCs w:val="22"/>
        </w:rPr>
        <w:t xml:space="preserve">Number each image to match the defect inventory. Store originals with EXIF metadata intact.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200"/>
        <w:gridCol w:w="1500"/>
        <w:gridCol w:w="1900"/>
        <w:gridCol w:w="3860"/>
      </w:tblGrid>
      <w:tr>
        <w:trPr>
          <w:tblHeader/>
        </w:trPr>
        <w:tc>
          <w:tcPr>
            <w:tcW w:type="dxa" w:w="9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t>
            </w:r>
          </w:p>
        </w:tc>
        <w:tc>
          <w:tcPr>
            <w:tcW w:type="dxa" w:w="12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Date</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Defect #</w:t>
            </w:r>
          </w:p>
        </w:tc>
        <w:tc>
          <w:tcPr>
            <w:tcW w:type="dxa" w:w="19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Location</w:t>
            </w:r>
          </w:p>
        </w:tc>
        <w:tc>
          <w:tcPr>
            <w:tcW w:type="dxa" w:w="38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What it shows</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440" w:hRule="atLeast"/>
        </w:trPr>
        <w:tc>
          <w:tcPr>
            <w:tcW w:type="dxa" w:w="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2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9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7. Third-Party Inspection</w:t>
      </w:r>
    </w:p>
    <w:p>
      <w:pPr>
        <w:spacing w:after="80" w:before="80" w:line="300"/>
      </w:pPr>
      <w:r>
        <w:rPr>
          <w:rFonts w:ascii="Calibri" w:cs="Calibri" w:eastAsia="Calibri" w:hAnsi="Calibri"/>
          <w:b/>
          <w:bCs/>
          <w:color w:val="2B2B2B"/>
          <w:sz w:val="22"/>
          <w:szCs w:val="22"/>
        </w:rPr>
        <w:t xml:space="preserve">Inspector / firm name:  </w:t>
      </w:r>
      <w:r>
        <w:rPr>
          <w:rFonts w:ascii="Calibri" w:cs="Calibri" w:eastAsia="Calibri" w:hAnsi="Calibri"/>
          <w:color w:val="555555"/>
          <w:sz w:val="22"/>
          <w:szCs w:val="22"/>
        </w:rPr>
        <w:t xml:space="preserve">____________________________________________________________</w:t>
      </w:r>
    </w:p>
    <w:p>
      <w:pPr>
        <w:spacing w:after="80" w:before="80" w:line="300"/>
      </w:pPr>
      <w:r>
        <w:rPr>
          <w:rFonts w:ascii="Calibri" w:cs="Calibri" w:eastAsia="Calibri" w:hAnsi="Calibri"/>
          <w:b/>
          <w:bCs/>
          <w:color w:val="2B2B2B"/>
          <w:sz w:val="22"/>
          <w:szCs w:val="22"/>
        </w:rPr>
        <w:t xml:space="preserve">Discipline (CIB-licensed home inspector, structural engineer, master plumber, master electrician, HVAC, environmental):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Oklahoma license / PE number / CIB license: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of inspection:  </w:t>
      </w:r>
      <w:r>
        <w:rPr>
          <w:rFonts w:ascii="Calibri" w:cs="Calibri" w:eastAsia="Calibri" w:hAnsi="Calibri"/>
          <w:color w:val="555555"/>
          <w:sz w:val="22"/>
          <w:szCs w:val="22"/>
        </w:rPr>
        <w:t xml:space="preserve">_________________________</w:t>
      </w:r>
    </w:p>
    <w:p>
      <w:pPr>
        <w:spacing w:after="80" w:before="80" w:line="300"/>
      </w:pPr>
      <w:r>
        <w:rPr>
          <w:rFonts w:ascii="Calibri" w:cs="Calibri" w:eastAsia="Calibri" w:hAnsi="Calibri"/>
          <w:b/>
          <w:bCs/>
          <w:color w:val="2B2B2B"/>
          <w:sz w:val="22"/>
          <w:szCs w:val="22"/>
        </w:rPr>
        <w:t xml:space="preserve">Inspection fee:  </w:t>
      </w:r>
      <w:r>
        <w:rPr>
          <w:rFonts w:ascii="Calibri" w:cs="Calibri" w:eastAsia="Calibri" w:hAnsi="Calibri"/>
          <w:color w:val="555555"/>
          <w:sz w:val="22"/>
          <w:szCs w:val="22"/>
        </w:rPr>
        <w:t xml:space="preserve">____________________</w:t>
      </w:r>
    </w:p>
    <w:p>
      <w:pPr>
        <w:spacing w:after="80" w:before="80" w:line="300"/>
      </w:pPr>
      <w:r>
        <w:rPr>
          <w:rFonts w:ascii="Calibri" w:cs="Calibri" w:eastAsia="Calibri" w:hAnsi="Calibri"/>
          <w:b/>
          <w:bCs/>
          <w:color w:val="2B2B2B"/>
          <w:sz w:val="22"/>
          <w:szCs w:val="22"/>
        </w:rPr>
        <w:t xml:space="preserve">Report delivered (yes / no, date):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Summary of findings (attach full report):  </w:t>
      </w:r>
      <w:r>
        <w:rPr>
          <w:rFonts w:ascii="Calibri" w:cs="Calibri" w:eastAsia="Calibri" w:hAnsi="Calibri"/>
          <w:color w:val="555555"/>
          <w:sz w:val="22"/>
          <w:szCs w:val="22"/>
        </w:rPr>
        <w:t xml:space="preserve">_________________________________________________________________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8. Regulatory Filings</w:t>
      </w:r>
    </w:p>
    <w:p>
      <w:pPr>
        <w:spacing w:after="80" w:before="80" w:line="300"/>
        <w:jc w:val="left"/>
      </w:pPr>
      <w:r>
        <w:rPr>
          <w:rFonts w:ascii="Calibri" w:cs="Calibri" w:eastAsia="Calibri" w:hAnsi="Calibri"/>
          <w:b w:val="false"/>
          <w:bCs w:val="false"/>
          <w:i/>
          <w:iCs/>
          <w:color w:val="555555"/>
          <w:sz w:val="22"/>
          <w:szCs w:val="22"/>
        </w:rPr>
        <w:t xml:space="preserve">Check each filing that has been made and record the reference number and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1500"/>
        <w:gridCol w:w="1500"/>
        <w:gridCol w:w="1860"/>
      </w:tblGrid>
      <w:tr>
        <w:trPr>
          <w:tblHeader/>
        </w:trPr>
        <w:tc>
          <w:tcPr>
            <w:tcW w:type="dxa" w:w="4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Forum</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Filed?</w:t>
            </w:r>
          </w:p>
        </w:tc>
        <w:tc>
          <w:tcPr>
            <w:tcW w:type="dxa" w:w="15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Date</w:t>
            </w:r>
          </w:p>
        </w:tc>
        <w:tc>
          <w:tcPr>
            <w:tcW w:type="dxa" w:w="18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center"/>
            </w:pPr>
            <w:r>
              <w:rPr>
                <w:rFonts w:ascii="Calibri" w:cs="Calibri" w:eastAsia="Calibri" w:hAnsi="Calibri"/>
                <w:b/>
                <w:bCs/>
                <w:color w:val="2B2B2B"/>
                <w:sz w:val="20"/>
                <w:szCs w:val="20"/>
              </w:rPr>
              <w:t xml:space="preserve">Reference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Contractual § 765.6 notice-and-cure letter to builder (certified mail, return receipt) — required only if contract contains the clause</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Construction Industries Board (CIB) — for plumbing / HVAC / electrical / roofing registration / home inspector</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Oklahoma Attorney General — Consumer Protection Unit (OCPA)</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Oklahoma Insurance Department — for third-party warranty product disputes (36 O.S. § 6751)</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Local Building Department / code enforcement</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Better Business Bureau</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Local OkHBA chapter informal mediation referral</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4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Civil lawsuit (Small Claims Division ≤ $10,000 / District Court general civil)</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5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18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9. Homeowner's Desired Remedy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Repair by the builder under § 765.6 notice-and-offer-to-repair procedure (if contract requires)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Repair by an independent contractor at the builder's cost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Cost-of-repair damages (contract / Jeanguneat implied warranty)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Diminution-in-value damages (where repair is impractical or insufficient)</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Rescission and restitution under Jeanguneat (major habitability defects only)</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Consequential damages (temporary housing, personal property, inspection and engineering fees)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Attorney's fees under OCPA § 761.1 (deceptive trade practices)</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Punitive damages under 23 O.S. § 9.1 (reckless disregard, fraud, or malice)</w:t>
      </w:r>
    </w:p>
    <w:p>
      <w:pPr>
        <w:spacing w:after="50" w:before="50" w:line="280"/>
      </w:pPr>
      <w:r>
        <w:rPr>
          <w:rFonts w:ascii="Calibri" w:cs="Calibri" w:eastAsia="Calibri" w:hAnsi="Calibri"/>
          <w:color w:val="2B2B2B"/>
          <w:sz w:val="24"/>
          <w:szCs w:val="24"/>
        </w:rPr>
        <w:t xml:space="preserve">☐  </w:t>
      </w:r>
      <w:r>
        <w:rPr>
          <w:rFonts w:ascii="Calibri" w:cs="Calibri" w:eastAsia="Calibri" w:hAnsi="Calibri"/>
          <w:color w:val="2B2B2B"/>
          <w:sz w:val="22"/>
          <w:szCs w:val="22"/>
        </w:rPr>
        <w:t xml:space="preserve">Other (describe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rPr>
          <w:trHeight w:val="700" w:hRule="atLeast"/>
        </w:trPr>
        <w:tc>
          <w:tcPr>
            <w:tcW w:type="dxa" w:w="9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spacing w:after="80" w:before="80" w:line="300"/>
      </w:pPr>
      <w:r>
        <w:rPr>
          <w:rFonts w:ascii="Calibri" w:cs="Calibri" w:eastAsia="Calibri" w:hAnsi="Calibri"/>
          <w:b/>
          <w:bCs/>
          <w:color w:val="2B2B2B"/>
          <w:sz w:val="22"/>
          <w:szCs w:val="22"/>
        </w:rPr>
        <w:t xml:space="preserve">Estimated dollar value of remedy demanded: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Deadline by which homeowner wants resolution:  </w:t>
      </w:r>
      <w:r>
        <w:rPr>
          <w:rFonts w:ascii="Calibri" w:cs="Calibri" w:eastAsia="Calibri" w:hAnsi="Calibri"/>
          <w:color w:val="555555"/>
          <w:sz w:val="22"/>
          <w:szCs w:val="22"/>
        </w:rPr>
        <w:t xml:space="preserve">______________________________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10. Critical Deadlines</w:t>
      </w:r>
    </w:p>
    <w:p>
      <w:pPr>
        <w:spacing w:after="80" w:before="80" w:line="300"/>
        <w:jc w:val="left"/>
      </w:pPr>
      <w:r>
        <w:rPr>
          <w:rFonts w:ascii="Calibri" w:cs="Calibri" w:eastAsia="Calibri" w:hAnsi="Calibri"/>
          <w:b w:val="false"/>
          <w:bCs w:val="false"/>
          <w:i/>
          <w:iCs/>
          <w:color w:val="555555"/>
          <w:sz w:val="22"/>
          <w:szCs w:val="22"/>
        </w:rPr>
        <w:t xml:space="preserve">Record the dates and corresponding statutory or contractual clocks. The earliest-expiring clock controls. The 10-year statute of repose under 12 O.S. § 109 is the absolute outer ceiling and is not extended by the discovery rule.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360"/>
      </w:tblGrid>
      <w:tr>
        <w:trPr>
          <w:tblHeader/>
        </w:trPr>
        <w:tc>
          <w:tcPr>
            <w:tcW w:type="dxa" w:w="36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Clock</w:t>
            </w:r>
          </w:p>
        </w:tc>
        <w:tc>
          <w:tcPr>
            <w:tcW w:type="dxa" w:w="240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Trigger date</w:t>
            </w:r>
          </w:p>
        </w:tc>
        <w:tc>
          <w:tcPr>
            <w:tcW w:type="dxa" w:w="3360"/>
            <w:tcBorders>
              <w:top w:val="single" w:color="9C9C9C" w:sz="4"/>
              <w:left w:val="single" w:color="9C9C9C" w:sz="4"/>
              <w:bottom w:val="single" w:color="9C9C9C" w:sz="4"/>
              <w:right w:val="single" w:color="9C9C9C"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Expires on</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Contractual § 765.6 notice-and-cure (only if contract requires) — 30-day response window</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written contract — 5 years (12 O.S. § 95(A)(1))</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Oral contract / OCPA / liability created by statute — 3 years (12 O.S. § 95(A)(2))</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Negligence / trespass to real property — 2 years (12 O.S. § 95(A)(3))</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Fraud — 2 years from discovery (12 O.S. § 95(A)(12))</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implied warranty (Jeanguneat) — typically 5 years if written contract</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Statute of repose — 10 years from substantial completion (12 O.S. § 109)</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Mechanic's lien — original contractor 4 months / sub 90 days (42 O.S. § 142)</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Pre-lien notice on owner-occupied residential — 75 days (42 O.S. § 142.6)</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r>
        <w:tc>
          <w:tcPr>
            <w:tcW w:type="dxa" w:w="36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Contractual notice / right-to-inspect window in limited warranty book</w:t>
            </w:r>
          </w:p>
        </w:tc>
        <w:tc>
          <w:tcPr>
            <w:tcW w:type="dxa" w:w="240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c>
          <w:tcPr>
            <w:tcW w:type="dxa" w:w="3360"/>
            <w:tcBorders>
              <w:top w:val="single" w:color="9C9C9C" w:sz="4"/>
              <w:left w:val="single" w:color="9C9C9C" w:sz="4"/>
              <w:bottom w:val="single" w:color="9C9C9C" w:sz="4"/>
              <w:right w:val="single" w:color="9C9C9C"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w:t>
            </w:r>
          </w:p>
        </w:tc>
      </w:tr>
    </w:tbl>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11. Signatures</w:t>
      </w:r>
    </w:p>
    <w:p>
      <w:pPr>
        <w:spacing w:after="80" w:before="80" w:line="300"/>
        <w:jc w:val="left"/>
      </w:pPr>
      <w:r>
        <w:rPr>
          <w:rFonts w:ascii="Calibri" w:cs="Calibri" w:eastAsia="Calibri" w:hAnsi="Calibri"/>
          <w:b w:val="false"/>
          <w:bCs w:val="false"/>
          <w:i w:val="false"/>
          <w:iCs w:val="false"/>
          <w:color w:val="2B2B2B"/>
          <w:sz w:val="22"/>
          <w:szCs w:val="22"/>
        </w:rPr>
        <w:t xml:space="preserve">By signing, the homeowner confirms that the information recorded above is true and complete to the best of the homeowner's knowledge, and authorizes the person assisting with the walkthrough to use the information solely for the purpose of evaluating and pursuing a builder defect claim.</w:t>
      </w:r>
    </w:p>
    <w:p>
      <w:pPr>
        <w:spacing w:before="240"/>
      </w:pPr>
    </w:p>
    <w:p>
      <w:pPr>
        <w:spacing w:after="80" w:before="80" w:line="300"/>
      </w:pPr>
      <w:r>
        <w:rPr>
          <w:rFonts w:ascii="Calibri" w:cs="Calibri" w:eastAsia="Calibri" w:hAnsi="Calibri"/>
          <w:b/>
          <w:bCs/>
          <w:color w:val="2B2B2B"/>
          <w:sz w:val="22"/>
          <w:szCs w:val="22"/>
        </w:rPr>
        <w:t xml:space="preserve">Homeowner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spacing w:before="200"/>
      </w:pPr>
    </w:p>
    <w:p>
      <w:pPr>
        <w:spacing w:after="80" w:before="80" w:line="300"/>
      </w:pPr>
      <w:r>
        <w:rPr>
          <w:rFonts w:ascii="Calibri" w:cs="Calibri" w:eastAsia="Calibri" w:hAnsi="Calibri"/>
          <w:b/>
          <w:bCs/>
          <w:color w:val="2B2B2B"/>
          <w:sz w:val="22"/>
          <w:szCs w:val="22"/>
        </w:rPr>
        <w:t xml:space="preserve">Person assisting with walkthrough —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Role: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spacing w:before="200"/>
      </w:pPr>
    </w:p>
    <w:p>
      <w:pPr>
        <w:spacing w:after="80" w:before="80" w:line="300"/>
      </w:pPr>
      <w:r>
        <w:rPr>
          <w:rFonts w:ascii="Calibri" w:cs="Calibri" w:eastAsia="Calibri" w:hAnsi="Calibri"/>
          <w:b/>
          <w:bCs/>
          <w:color w:val="2B2B2B"/>
          <w:sz w:val="22"/>
          <w:szCs w:val="22"/>
        </w:rPr>
        <w:t xml:space="preserve">Interpreter (if any) — signature: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Printed name:  </w:t>
      </w:r>
      <w:r>
        <w:rPr>
          <w:rFonts w:ascii="Calibri" w:cs="Calibri" w:eastAsia="Calibri" w:hAnsi="Calibri"/>
          <w:color w:val="555555"/>
          <w:sz w:val="22"/>
          <w:szCs w:val="22"/>
        </w:rPr>
        <w:t xml:space="preserve">__________________________________________________</w:t>
      </w:r>
    </w:p>
    <w:p>
      <w:pPr>
        <w:spacing w:after="80" w:before="80" w:line="300"/>
      </w:pPr>
      <w:r>
        <w:rPr>
          <w:rFonts w:ascii="Calibri" w:cs="Calibri" w:eastAsia="Calibri" w:hAnsi="Calibri"/>
          <w:b/>
          <w:bCs/>
          <w:color w:val="2B2B2B"/>
          <w:sz w:val="22"/>
          <w:szCs w:val="22"/>
        </w:rPr>
        <w:t xml:space="preserve">Certification (RID / BEI / state):  </w:t>
      </w:r>
      <w:r>
        <w:rPr>
          <w:rFonts w:ascii="Calibri" w:cs="Calibri" w:eastAsia="Calibri" w:hAnsi="Calibri"/>
          <w:color w:val="555555"/>
          <w:sz w:val="22"/>
          <w:szCs w:val="22"/>
        </w:rPr>
        <w:t xml:space="preserve">______________________________</w:t>
      </w:r>
    </w:p>
    <w:p>
      <w:pPr>
        <w:spacing w:after="80" w:before="80" w:line="300"/>
      </w:pPr>
      <w:r>
        <w:rPr>
          <w:rFonts w:ascii="Calibri" w:cs="Calibri" w:eastAsia="Calibri" w:hAnsi="Calibri"/>
          <w:b/>
          <w:bCs/>
          <w:color w:val="2B2B2B"/>
          <w:sz w:val="22"/>
          <w:szCs w:val="22"/>
        </w:rPr>
        <w:t xml:space="preserve">Date:  </w:t>
      </w:r>
      <w:r>
        <w:rPr>
          <w:rFonts w:ascii="Calibri" w:cs="Calibri" w:eastAsia="Calibri" w:hAnsi="Calibri"/>
          <w:color w:val="555555"/>
          <w:sz w:val="22"/>
          <w:szCs w:val="22"/>
        </w:rPr>
        <w:t xml:space="preserve">____________________</w:t>
      </w:r>
    </w:p>
    <w:p>
      <w:pPr>
        <w:pStyle w:val="Heading1"/>
        <w:keepNext/>
        <w:pBdr>
          <w:bottom w:val="single" w:color="8C8C8C" w:sz="12" w:space="4"/>
        </w:pBdr>
        <w:spacing w:after="140" w:before="320"/>
      </w:pPr>
      <w:r>
        <w:rPr>
          <w:rFonts w:ascii="Calibri" w:cs="Calibri" w:eastAsia="Calibri" w:hAnsi="Calibri"/>
          <w:b/>
          <w:bCs/>
          <w:color w:val="2B2B2B"/>
          <w:sz w:val="32"/>
          <w:szCs w:val="32"/>
        </w:rPr>
        <w:t xml:space="preserve">12. Reminder</w:t>
      </w:r>
    </w:p>
    <w:p>
      <w:pPr>
        <w:spacing w:after="80" w:before="80" w:line="300"/>
        <w:jc w:val="left"/>
      </w:pPr>
      <w:r>
        <w:rPr>
          <w:rFonts w:ascii="Calibri" w:cs="Calibri" w:eastAsia="Calibri" w:hAnsi="Calibri"/>
          <w:b w:val="false"/>
          <w:bCs w:val="false"/>
          <w:i w:val="false"/>
          <w:iCs w:val="false"/>
          <w:color w:val="2B2B2B"/>
          <w:sz w:val="22"/>
          <w:szCs w:val="22"/>
        </w:rPr>
        <w:t xml:space="preserve">This form is a general intake tool. It does not create an attorney–client relationship and is not legal advice. Before any contractual § 765.6 notice, OCPA demand letter, complaint, or lawsuit is filed, the information collected here should be reviewed by a licensed Oklahoma attorney. Statutory deadlines — particularly the 10-year statute of repose under 12 O.S. § 109 and the 5/3/2 year limitations periods under 12 O.S. § 95 — should be confirmed against current authority. Oklahoma has no statewide residential general contractor license and no state recovery fund, so the civil lawsuit and the Attorney General's Consumer Protection Unit are the primary paths to recovery. The Home Repair Fraud Act (15 O.S. § 765.1 et seq.) does not apply to original construction of a residential building under § 765.2 — rely on the general OCPA and the Jeanguneat implied warranty instead. See the companion Oklahoma New Home Construction Warranty Reference for citations and procedure.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8"/>
        <w:szCs w:val="18"/>
      </w:rPr>
      <w:t xml:space="preserve">Page </w:t>
    </w:r>
    <w:r>
      <w:rPr>
        <w:rFonts w:ascii="Calibri" w:cs="Calibri" w:eastAsia="Calibri" w:hAnsi="Calibri"/>
        <w:color w:val="555555"/>
        <w:sz w:val="18"/>
        <w:szCs w:val="18"/>
      </w:rPr>
      <w:fldChar w:fldCharType="begin"/>
      <w:instrText xml:space="preserve">PAGE</w:instrText>
      <w:fldChar w:fldCharType="separate"/>
      <w:fldChar w:fldCharType="end"/>
    </w:r>
    <w:r>
      <w:rPr>
        <w:rFonts w:ascii="Calibri" w:cs="Calibri" w:eastAsia="Calibri" w:hAnsi="Calibri"/>
        <w:color w:val="555555"/>
        <w:sz w:val="18"/>
        <w:szCs w:val="18"/>
      </w:rPr>
      <w:t xml:space="preserve"> — General reference,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55555"/>
        <w:sz w:val="18"/>
        <w:szCs w:val="18"/>
      </w:rPr>
      <w:t xml:space="preserve">Oklahoma Builder Defect Walkthrough Intake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B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Calibri" w:cs="Calibri" w:eastAsia="Calibri" w:hAnsi="Calibri"/>
      <w:b/>
      <w:bCs/>
      <w:color w:val="2B2B2B"/>
      <w:sz w:val="32"/>
      <w:szCs w:val="32"/>
    </w:rPr>
  </w:style>
  <w:style w:type="paragraph" w:styleId="Heading2">
    <w:name w:val="Heading 2"/>
    <w:basedOn w:val="Normal"/>
    <w:next w:val="Normal"/>
    <w:qFormat/>
    <w:pPr>
      <w:spacing w:after="100" w:before="220"/>
      <w:outlineLvl w:val="1"/>
    </w:pPr>
    <w:rPr>
      <w:rFonts w:ascii="Calibri" w:cs="Calibri" w:eastAsia="Calibri" w:hAnsi="Calibri"/>
      <w:b/>
      <w:bCs/>
      <w:color w:val="3A3A3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Builder Defect Walkthrough Intake Form</dc:title>
  <dc:creator>New Build Warranty Reference</dc:creator>
  <cp:lastModifiedBy>Un-named</cp:lastModifiedBy>
  <cp:revision>1</cp:revision>
  <dcterms:created xsi:type="dcterms:W3CDTF">2026-05-22T14:03:33.271Z</dcterms:created>
  <dcterms:modified xsi:type="dcterms:W3CDTF">2026-05-22T14:03:33.271Z</dcterms:modified>
</cp:coreProperties>
</file>

<file path=docProps/custom.xml><?xml version="1.0" encoding="utf-8"?>
<Properties xmlns="http://schemas.openxmlformats.org/officeDocument/2006/custom-properties" xmlns:vt="http://schemas.openxmlformats.org/officeDocument/2006/docPropsVTypes"/>
</file>