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FLORIDA</w:t>
      </w:r>
    </w:p>
    <w:p>
      <w:pPr>
        <w:spacing w:after="120"/>
        <w:jc w:val="center"/>
      </w:pPr>
      <w:r>
        <w:rPr>
          <w:rFonts w:ascii="Calibri" w:cs="Calibri" w:eastAsia="Calibri" w:hAnsi="Calibri"/>
          <w:b/>
          <w:bCs/>
          <w:color w:val="2B2B2B"/>
          <w:sz w:val="36"/>
          <w:szCs w:val="36"/>
        </w:rPr>
        <w:t xml:space="preserve">New Home Construction Warranty Reference</w:t>
      </w:r>
    </w:p>
    <w:p>
      <w:pPr>
        <w:spacing w:after="720"/>
        <w:jc w:val="center"/>
      </w:pPr>
      <w:r>
        <w:rPr>
          <w:rFonts w:ascii="Calibri" w:cs="Calibri" w:eastAsia="Calibri" w:hAnsi="Calibri"/>
          <w:i/>
          <w:iCs/>
          <w:color w:val="555555"/>
          <w:sz w:val="24"/>
          <w:szCs w:val="24"/>
        </w:rPr>
        <w:t xml:space="preserve">Implied Warranty, Chapter 558 Right-to-Cure, SB 360 Repose, Recovery Fund, FDUTPA</w:t>
      </w:r>
    </w:p>
    <w:p>
      <w:pPr>
        <w:spacing w:after="80"/>
        <w:jc w:val="center"/>
      </w:pPr>
      <w:r>
        <w:rPr>
          <w:rFonts w:ascii="Calibri" w:cs="Calibri" w:eastAsia="Calibri" w:hAnsi="Calibri"/>
          <w:color w:val="555555"/>
          <w:sz w:val="22"/>
          <w:szCs w:val="22"/>
        </w:rPr>
        <w:t xml:space="preserve">A general reference for homeowners, real-estate professionals, and counsel</w:t>
      </w:r>
    </w:p>
    <w:p>
      <w:pPr>
        <w:spacing w:after="1200"/>
        <w:jc w:val="center"/>
      </w:pPr>
      <w:r>
        <w:rPr>
          <w:rFonts w:ascii="Calibri" w:cs="Calibri" w:eastAsia="Calibri" w:hAnsi="Calibri"/>
          <w:i/>
          <w:iCs/>
          <w:color w:val="555555"/>
          <w:sz w:val="20"/>
          <w:szCs w:val="20"/>
        </w:rPr>
        <w:t xml:space="preserve">Not legal advice — verify all citations with a licensed Florida attorney before relying on them.</w:t>
      </w:r>
    </w:p>
    <w:p>
      <w:pPr>
        <w:spacing w:after="80"/>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 Overview of Florida's Framework</w:t>
      </w:r>
    </w:p>
    <w:p>
      <w:pPr>
        <w:spacing w:after="120" w:before="80" w:line="300"/>
        <w:jc w:val="left"/>
      </w:pPr>
      <w:r>
        <w:rPr>
          <w:rFonts w:ascii="Calibri" w:cs="Calibri" w:eastAsia="Calibri" w:hAnsi="Calibri"/>
          <w:b w:val="false"/>
          <w:bCs w:val="false"/>
          <w:i w:val="false"/>
          <w:iCs w:val="false"/>
          <w:color w:val="2B2B2B"/>
          <w:sz w:val="22"/>
          <w:szCs w:val="22"/>
        </w:rPr>
        <w:t xml:space="preserve">Florida has more moving parts than most states because two major statutes were rewritten in 2023 and the Construction Recovery Fund caps doubled effective January 1, 2025. The homeowner's protections sit on four overlapping layers, and every layer has been touched by recent legislation.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Common-law implied warranty of habitability </w:t>
      </w:r>
      <w:r>
        <w:rPr>
          <w:rFonts w:ascii="Calibri" w:cs="Calibri" w:eastAsia="Calibri" w:hAnsi="Calibri"/>
          <w:color w:val="2B2B2B"/>
          <w:sz w:val="22"/>
          <w:szCs w:val="22"/>
        </w:rPr>
        <w:t xml:space="preserve">— recognized in </w:t>
      </w:r>
      <w:r>
        <w:rPr>
          <w:rFonts w:ascii="Calibri" w:cs="Calibri" w:eastAsia="Calibri" w:hAnsi="Calibri"/>
          <w:b w:val="false"/>
          <w:bCs w:val="false"/>
          <w:i/>
          <w:iCs/>
          <w:color w:val="2B2B2B"/>
          <w:sz w:val="22"/>
          <w:szCs w:val="22"/>
        </w:rPr>
        <w:t xml:space="preserve">Gable v. Silver</w:t>
      </w:r>
      <w:r>
        <w:rPr>
          <w:rFonts w:ascii="Calibri" w:cs="Calibri" w:eastAsia="Calibri" w:hAnsi="Calibri"/>
          <w:color w:val="2B2B2B"/>
          <w:sz w:val="22"/>
          <w:szCs w:val="22"/>
        </w:rPr>
        <w:t xml:space="preserve">, 264 So. 2d 418 (Fla. 1972), and extended through </w:t>
      </w:r>
      <w:r>
        <w:rPr>
          <w:rFonts w:ascii="Calibri" w:cs="Calibri" w:eastAsia="Calibri" w:hAnsi="Calibri"/>
          <w:b w:val="false"/>
          <w:bCs w:val="false"/>
          <w:i/>
          <w:iCs/>
          <w:color w:val="2B2B2B"/>
          <w:sz w:val="22"/>
          <w:szCs w:val="22"/>
        </w:rPr>
        <w:t xml:space="preserve">Hesson v. Walmsley Construction</w:t>
      </w:r>
      <w:r>
        <w:rPr>
          <w:rFonts w:ascii="Calibri" w:cs="Calibri" w:eastAsia="Calibri" w:hAnsi="Calibri"/>
          <w:color w:val="2B2B2B"/>
          <w:sz w:val="22"/>
          <w:szCs w:val="22"/>
        </w:rPr>
        <w:t xml:space="preserve"> (1982), </w:t>
      </w:r>
      <w:r>
        <w:rPr>
          <w:rFonts w:ascii="Calibri" w:cs="Calibri" w:eastAsia="Calibri" w:hAnsi="Calibri"/>
          <w:b w:val="false"/>
          <w:bCs w:val="false"/>
          <w:i/>
          <w:iCs/>
          <w:color w:val="2B2B2B"/>
          <w:sz w:val="22"/>
          <w:szCs w:val="22"/>
        </w:rPr>
        <w:t xml:space="preserve">David v. B&amp;J Holding</w:t>
      </w:r>
      <w:r>
        <w:rPr>
          <w:rFonts w:ascii="Calibri" w:cs="Calibri" w:eastAsia="Calibri" w:hAnsi="Calibri"/>
          <w:color w:val="2B2B2B"/>
          <w:sz w:val="22"/>
          <w:szCs w:val="22"/>
        </w:rPr>
        <w:t xml:space="preserve"> (1977), and </w:t>
      </w:r>
      <w:r>
        <w:rPr>
          <w:rFonts w:ascii="Calibri" w:cs="Calibri" w:eastAsia="Calibri" w:hAnsi="Calibri"/>
          <w:b w:val="false"/>
          <w:bCs w:val="false"/>
          <w:i/>
          <w:iCs/>
          <w:color w:val="2B2B2B"/>
          <w:sz w:val="22"/>
          <w:szCs w:val="22"/>
        </w:rPr>
        <w:t xml:space="preserve">Drexel Properties v. Bay Colony Club Condominium</w:t>
      </w:r>
      <w:r>
        <w:rPr>
          <w:rFonts w:ascii="Calibri" w:cs="Calibri" w:eastAsia="Calibri" w:hAnsi="Calibri"/>
          <w:color w:val="2B2B2B"/>
          <w:sz w:val="22"/>
          <w:szCs w:val="22"/>
        </w:rPr>
        <w:t xml:space="preserve"> (1981). Limited to the dwelling and certain essential on-site systems after Fla. Stat. § 553.835 (2012).</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Chapter 558 — Notice and Opportunity to Repair </w:t>
      </w:r>
      <w:r>
        <w:rPr>
          <w:rFonts w:ascii="Calibri" w:cs="Calibri" w:eastAsia="Calibri" w:hAnsi="Calibri"/>
          <w:color w:val="2B2B2B"/>
          <w:sz w:val="22"/>
          <w:szCs w:val="22"/>
        </w:rPr>
        <w:t xml:space="preserve">— mandatory pre-suit notice scheme. The homeowner must give the builder 60 days' written notice before filing suit (120 days for an association representing more than 20 parcels). Skipping the notice does not bar the suit jurisdictionally — the court stays the action until compliance.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Florida Construction Industry Licensing Board (CILB) under Chapter 489 </w:t>
      </w:r>
      <w:r>
        <w:rPr>
          <w:rFonts w:ascii="Calibri" w:cs="Calibri" w:eastAsia="Calibri" w:hAnsi="Calibri"/>
          <w:color w:val="2B2B2B"/>
          <w:sz w:val="22"/>
          <w:szCs w:val="22"/>
        </w:rPr>
        <w:t xml:space="preserve">— licenses general, building, and residential contractors at the state level, plus specialty trades. Administers the Homeowners' Construction Recovery Fund under § 489.140.</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Florida Deceptive and Unfair Trade Practices Act (FDUTPA) </w:t>
      </w:r>
      <w:r>
        <w:rPr>
          <w:rFonts w:ascii="Calibri" w:cs="Calibri" w:eastAsia="Calibri" w:hAnsi="Calibri"/>
          <w:color w:val="2B2B2B"/>
          <w:sz w:val="22"/>
          <w:szCs w:val="22"/>
        </w:rPr>
        <w:t xml:space="preserve">— Chapter 501, Part II. Applies to new-home sales (unlike many other states' UDAP acts) where there is misrepresentation, deceptive advertising, or unfair conduct. No treble damages and no punitive damages, but two-way prevailing-party attorney's fees under § 501.2105.</w:t>
      </w:r>
    </w:p>
    <w:p>
      <w:pPr>
        <w:spacing w:after="80" w:before="160" w:line="300"/>
        <w:jc w:val="left"/>
      </w:pPr>
      <w:r>
        <w:rPr>
          <w:rFonts w:ascii="Calibri" w:cs="Calibri" w:eastAsia="Calibri" w:hAnsi="Calibri"/>
          <w:b w:val="false"/>
          <w:bCs w:val="false"/>
          <w:i w:val="false"/>
          <w:iCs w:val="false"/>
          <w:color w:val="2B2B2B"/>
          <w:sz w:val="22"/>
          <w:szCs w:val="22"/>
        </w:rPr>
        <w:t xml:space="preserve">Three background features dominate any Florida new-home defect analysis:</w:t>
      </w:r>
    </w:p>
    <w:p>
      <w:pPr>
        <w:pStyle w:val="ListParagraph"/>
        <w:numPr>
          <w:ilvl w:val="0"/>
          <w:numId w:val="3"/>
        </w:numPr>
        <w:spacing w:after="60" w:before="60" w:line="280"/>
      </w:pPr>
      <w:r>
        <w:rPr>
          <w:rFonts w:ascii="Calibri" w:cs="Calibri" w:eastAsia="Calibri" w:hAnsi="Calibri"/>
          <w:color w:val="2B2B2B"/>
          <w:sz w:val="22"/>
          <w:szCs w:val="22"/>
        </w:rPr>
        <w:t xml:space="preserve">Senate Bill 360 (signed and effective April 13, 2023) substantially rewrote Fla. Stat. § 95.11(3)(c). The statute of repose was cut from ten years to seven years. The repose now runs from the earliest of issuance of a temporary certificate of occupancy, a certificate of occupancy, a certificate of completion, or the date of abandonment of construction. The older "date of completion" and "date of actual possession" triggers are gone. A grace period expired July 1, 2024 — homeowners who would have been within the old repose window had to file by that date or be barred.</w:t>
      </w:r>
    </w:p>
    <w:p>
      <w:pPr>
        <w:pStyle w:val="ListParagraph"/>
        <w:numPr>
          <w:ilvl w:val="0"/>
          <w:numId w:val="3"/>
        </w:numPr>
        <w:spacing w:after="60" w:before="60" w:line="280"/>
      </w:pPr>
      <w:r>
        <w:rPr>
          <w:rFonts w:ascii="Calibri" w:cs="Calibri" w:eastAsia="Calibri" w:hAnsi="Calibri"/>
          <w:color w:val="2B2B2B"/>
          <w:sz w:val="22"/>
          <w:szCs w:val="22"/>
        </w:rPr>
        <w:t xml:space="preserve">House Bill 837 (effective March 24, 2023) is a broader tort-reform package. It cut the general negligence limitations period from four years to two years and tightened comparative fault, bad faith, and proposal-for-settlement rules. HB 837 did not change the construction-defect limitations or repose in § 95.11(3)(c), which are governed separately.</w:t>
      </w:r>
    </w:p>
    <w:p>
      <w:pPr>
        <w:pStyle w:val="ListParagraph"/>
        <w:numPr>
          <w:ilvl w:val="0"/>
          <w:numId w:val="3"/>
        </w:numPr>
        <w:spacing w:after="60" w:before="60" w:line="280"/>
      </w:pPr>
      <w:r>
        <w:rPr>
          <w:rFonts w:ascii="Calibri" w:cs="Calibri" w:eastAsia="Calibri" w:hAnsi="Calibri"/>
          <w:color w:val="2B2B2B"/>
          <w:sz w:val="22"/>
          <w:szCs w:val="22"/>
        </w:rPr>
        <w:t xml:space="preserve">The Homeowners' Construction Recovery Fund caps doubled effective January 1, 2025, for contracts signed on or after July 1, 2024. Division I per-claim cap is now $100,000 (was $50,000), with a $2,000,000 aggregate per licensee (was $500,000). For contracts signed before July 1, 2024, the older $50,000 / $500,000 caps still apply.</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2. The Implied Warranty of Habitability</w:t>
      </w:r>
    </w:p>
    <w:p>
      <w:pPr>
        <w:pStyle w:val="Heading2"/>
        <w:keepNext/>
        <w:spacing w:after="120" w:before="260"/>
      </w:pPr>
      <w:r>
        <w:rPr>
          <w:rFonts w:ascii="Calibri" w:cs="Calibri" w:eastAsia="Calibri" w:hAnsi="Calibri"/>
          <w:b/>
          <w:bCs/>
          <w:color w:val="2B2B2B"/>
          <w:sz w:val="28"/>
          <w:szCs w:val="28"/>
        </w:rPr>
        <w:t xml:space="preserve">Recognition</w:t>
      </w:r>
    </w:p>
    <w:p>
      <w:pPr>
        <w:spacing w:after="80" w:before="80" w:line="300"/>
        <w:jc w:val="left"/>
      </w:pPr>
      <w:r>
        <w:rPr>
          <w:rFonts w:ascii="Calibri" w:cs="Calibri" w:eastAsia="Calibri" w:hAnsi="Calibri"/>
          <w:b w:val="false"/>
          <w:bCs w:val="false"/>
          <w:i/>
          <w:iCs/>
          <w:color w:val="2B2B2B"/>
          <w:sz w:val="22"/>
          <w:szCs w:val="22"/>
        </w:rPr>
        <w:t xml:space="preserve">Gable v. Silver</w:t>
      </w:r>
      <w:r>
        <w:rPr>
          <w:rFonts w:ascii="Calibri" w:cs="Calibri" w:eastAsia="Calibri" w:hAnsi="Calibri"/>
          <w:color w:val="2B2B2B"/>
          <w:sz w:val="22"/>
          <w:szCs w:val="22"/>
        </w:rPr>
        <w:t xml:space="preserve">, 258 So. 2d 11 (Fla. 4th DCA 1972), adopted and approved at 264 So. 2d 418 (Fla. 1972), abandoned caveat emptor for new-home sales by a builder-vendor. The Florida Supreme Court adopted the Fourth District's opinion as its own, holding that implied warranties of fitness and merchantability extend to purchasers of new homes and condominium units from builder-vendors.</w:t>
      </w:r>
    </w:p>
    <w:p>
      <w:pPr>
        <w:pStyle w:val="Heading2"/>
        <w:keepNext/>
        <w:spacing w:after="120" w:before="260"/>
      </w:pPr>
      <w:r>
        <w:rPr>
          <w:rFonts w:ascii="Calibri" w:cs="Calibri" w:eastAsia="Calibri" w:hAnsi="Calibri"/>
          <w:b/>
          <w:bCs/>
          <w:color w:val="2B2B2B"/>
          <w:sz w:val="28"/>
          <w:szCs w:val="28"/>
        </w:rPr>
        <w:t xml:space="preserve">Scope of the warranty</w:t>
      </w:r>
    </w:p>
    <w:p>
      <w:pPr>
        <w:spacing w:after="80" w:before="80" w:line="300"/>
        <w:jc w:val="left"/>
      </w:pPr>
      <w:r>
        <w:rPr>
          <w:rFonts w:ascii="Calibri" w:cs="Calibri" w:eastAsia="Calibri" w:hAnsi="Calibri"/>
          <w:b w:val="false"/>
          <w:bCs w:val="false"/>
          <w:i/>
          <w:iCs/>
          <w:color w:val="2B2B2B"/>
          <w:sz w:val="22"/>
          <w:szCs w:val="22"/>
        </w:rPr>
        <w:t xml:space="preserve">Hesson v. Walmsley Construction Co.</w:t>
      </w:r>
      <w:r>
        <w:rPr>
          <w:rFonts w:ascii="Calibri" w:cs="Calibri" w:eastAsia="Calibri" w:hAnsi="Calibri"/>
          <w:color w:val="2B2B2B"/>
          <w:sz w:val="22"/>
          <w:szCs w:val="22"/>
        </w:rPr>
        <w:t xml:space="preserve">, 422 So. 2d 943 (Fla. 2d DCA 1982), confirms that the implied warranty applies to the package sale of a new house and lot by a builder-vendor to the original purchaser. The warranty covers only conditions in existence at the time of sale. </w:t>
      </w:r>
      <w:r>
        <w:rPr>
          <w:rFonts w:ascii="Calibri" w:cs="Calibri" w:eastAsia="Calibri" w:hAnsi="Calibri"/>
          <w:b w:val="false"/>
          <w:bCs w:val="false"/>
          <w:i/>
          <w:iCs/>
          <w:color w:val="2B2B2B"/>
          <w:sz w:val="22"/>
          <w:szCs w:val="22"/>
        </w:rPr>
        <w:t xml:space="preserve">David v. B&amp;J Holding Corp.</w:t>
      </w:r>
      <w:r>
        <w:rPr>
          <w:rFonts w:ascii="Calibri" w:cs="Calibri" w:eastAsia="Calibri" w:hAnsi="Calibri"/>
          <w:color w:val="2B2B2B"/>
          <w:sz w:val="22"/>
          <w:szCs w:val="22"/>
        </w:rPr>
        <w:t xml:space="preserve">, 349 So. 2d 676 (Fla. 3d DCA 1977), and </w:t>
      </w:r>
      <w:r>
        <w:rPr>
          <w:rFonts w:ascii="Calibri" w:cs="Calibri" w:eastAsia="Calibri" w:hAnsi="Calibri"/>
          <w:b w:val="false"/>
          <w:bCs w:val="false"/>
          <w:i/>
          <w:iCs/>
          <w:color w:val="2B2B2B"/>
          <w:sz w:val="22"/>
          <w:szCs w:val="22"/>
        </w:rPr>
        <w:t xml:space="preserve">Drexel Properties, Inc. v. Bay Colony Club Condominium, Inc.</w:t>
      </w:r>
      <w:r>
        <w:rPr>
          <w:rFonts w:ascii="Calibri" w:cs="Calibri" w:eastAsia="Calibri" w:hAnsi="Calibri"/>
          <w:color w:val="2B2B2B"/>
          <w:sz w:val="22"/>
          <w:szCs w:val="22"/>
        </w:rPr>
        <w:t xml:space="preserve">, 406 So. 2d 515 (Fla. 4th DCA 1981), extend the doctrine to condominium-unit buyers.</w:t>
      </w:r>
    </w:p>
    <w:p>
      <w:pPr>
        <w:pStyle w:val="Heading2"/>
        <w:keepNext/>
        <w:spacing w:after="120" w:before="260"/>
      </w:pPr>
      <w:r>
        <w:rPr>
          <w:rFonts w:ascii="Calibri" w:cs="Calibri" w:eastAsia="Calibri" w:hAnsi="Calibri"/>
          <w:b/>
          <w:bCs/>
          <w:color w:val="2B2B2B"/>
          <w:sz w:val="28"/>
          <w:szCs w:val="28"/>
        </w:rPr>
        <w:t xml:space="preserve">Maronda Homes and § 553.835</w:t>
      </w:r>
    </w:p>
    <w:p>
      <w:pPr>
        <w:spacing w:after="80" w:before="80" w:line="300"/>
        <w:jc w:val="left"/>
      </w:pPr>
      <w:r>
        <w:rPr>
          <w:rFonts w:ascii="Calibri" w:cs="Calibri" w:eastAsia="Calibri" w:hAnsi="Calibri"/>
          <w:b w:val="false"/>
          <w:bCs w:val="false"/>
          <w:i/>
          <w:iCs/>
          <w:color w:val="2B2B2B"/>
          <w:sz w:val="22"/>
          <w:szCs w:val="22"/>
        </w:rPr>
        <w:t xml:space="preserve">Maronda Homes, Inc. of Florida v. Lakeview Reserve Homeowners Ass'n</w:t>
      </w:r>
      <w:r>
        <w:rPr>
          <w:rFonts w:ascii="Calibri" w:cs="Calibri" w:eastAsia="Calibri" w:hAnsi="Calibri"/>
          <w:color w:val="2B2B2B"/>
          <w:sz w:val="22"/>
          <w:szCs w:val="22"/>
        </w:rPr>
        <w:t xml:space="preserve">, 127 So. 3d 1258 (Fla. 2013), held that the common-law implied warranty extends to off-site improvements that provide essential services for habitability — roads, drainage, retention ponds, underground utilities. The legislature responded with Fla. Stat. § 553.835 (enacted 2012), which provides that there is no cause of action in law or equity available to a purchaser of a home or to a homeowners' association based on the doctrine of implied warranty for damages to off-site improvements. The statute defines off-site improvements as streets, roads, driveways, sidewalks, drainage, and utilities not located on the lot, or located on the lot but not immediately and directly supporting fitness, merchantability, or habitability of the home itself. The Florida Supreme Court applied § 553.835 prospectively only, so the statute now controls all new claims arising after its effective date.</w:t>
      </w:r>
    </w:p>
    <w:p>
      <w:pPr>
        <w:pStyle w:val="Heading2"/>
        <w:keepNext/>
        <w:spacing w:after="120" w:before="260"/>
      </w:pPr>
      <w:r>
        <w:rPr>
          <w:rFonts w:ascii="Calibri" w:cs="Calibri" w:eastAsia="Calibri" w:hAnsi="Calibri"/>
          <w:b/>
          <w:bCs/>
          <w:color w:val="2B2B2B"/>
          <w:sz w:val="28"/>
          <w:szCs w:val="28"/>
        </w:rPr>
        <w:t xml:space="preserve">Caveat emptor still survives</w:t>
      </w:r>
    </w:p>
    <w:p>
      <w:pPr>
        <w:spacing w:after="80" w:before="80" w:line="300"/>
        <w:jc w:val="left"/>
      </w:pPr>
      <w:r>
        <w:rPr>
          <w:rFonts w:ascii="Calibri" w:cs="Calibri" w:eastAsia="Calibri" w:hAnsi="Calibri"/>
          <w:b w:val="false"/>
          <w:bCs w:val="false"/>
          <w:i/>
          <w:iCs/>
          <w:color w:val="2B2B2B"/>
          <w:sz w:val="22"/>
          <w:szCs w:val="22"/>
        </w:rPr>
        <w:t xml:space="preserve">Conklin v. Hurley</w:t>
      </w:r>
      <w:r>
        <w:rPr>
          <w:rFonts w:ascii="Calibri" w:cs="Calibri" w:eastAsia="Calibri" w:hAnsi="Calibri"/>
          <w:color w:val="2B2B2B"/>
          <w:sz w:val="22"/>
          <w:szCs w:val="22"/>
        </w:rPr>
        <w:t xml:space="preserve">, 428 So. 2d 654 (Fla. 1983), declined to extend implied warranty to seawalls on vacant residential lots. The doctrine is tied to new dwellings and to the buyer's reasonable expectation of habitability; it does not generally extend to land improvements that are not part of, or essential to, a new dwelling.</w:t>
      </w:r>
    </w:p>
    <w:p>
      <w:pPr>
        <w:pStyle w:val="Heading2"/>
        <w:keepNext/>
        <w:spacing w:after="120" w:before="260"/>
      </w:pPr>
      <w:r>
        <w:rPr>
          <w:rFonts w:ascii="Calibri" w:cs="Calibri" w:eastAsia="Calibri" w:hAnsi="Calibri"/>
          <w:b/>
          <w:bCs/>
          <w:color w:val="2B2B2B"/>
          <w:sz w:val="28"/>
          <w:szCs w:val="28"/>
        </w:rPr>
        <w:t xml:space="preserve">Who can sue</w:t>
      </w:r>
    </w:p>
    <w:p>
      <w:pPr>
        <w:spacing w:after="80" w:before="80" w:line="300"/>
        <w:jc w:val="left"/>
      </w:pPr>
      <w:r>
        <w:rPr>
          <w:rFonts w:ascii="Calibri" w:cs="Calibri" w:eastAsia="Calibri" w:hAnsi="Calibri"/>
          <w:b w:val="false"/>
          <w:bCs w:val="false"/>
          <w:i w:val="false"/>
          <w:iCs w:val="false"/>
          <w:color w:val="2B2B2B"/>
          <w:sz w:val="22"/>
          <w:szCs w:val="22"/>
        </w:rPr>
        <w:t xml:space="preserve">The warranty runs from the builder-vendor to the original purchaser. Florida case law is unsettled on subsequent purchasers, but the prevailing view — supported by Drexel Properties and its progeny — is that subsequent purchasers may sue on the original implied warranty so long as the limitations and repose periods have not expired.</w:t>
      </w:r>
    </w:p>
    <w:p>
      <w:pPr>
        <w:pStyle w:val="Heading2"/>
        <w:keepNext/>
        <w:spacing w:after="120" w:before="260"/>
      </w:pPr>
      <w:r>
        <w:rPr>
          <w:rFonts w:ascii="Calibri" w:cs="Calibri" w:eastAsia="Calibri" w:hAnsi="Calibri"/>
          <w:b/>
          <w:bCs/>
          <w:color w:val="2B2B2B"/>
          <w:sz w:val="28"/>
          <w:szCs w:val="28"/>
        </w:rPr>
        <w:t xml:space="preserve">Disclaimer</w:t>
      </w:r>
    </w:p>
    <w:p>
      <w:pPr>
        <w:spacing w:after="80" w:before="80" w:line="300"/>
        <w:jc w:val="left"/>
      </w:pPr>
      <w:r>
        <w:rPr>
          <w:rFonts w:ascii="Calibri" w:cs="Calibri" w:eastAsia="Calibri" w:hAnsi="Calibri"/>
          <w:b w:val="false"/>
          <w:bCs w:val="false"/>
          <w:i w:val="false"/>
          <w:iCs w:val="false"/>
          <w:color w:val="2B2B2B"/>
          <w:sz w:val="22"/>
          <w:szCs w:val="22"/>
        </w:rPr>
        <w:t xml:space="preserve">Florida courts allow disclaimer of the implied warranty only where the disclaimer is in writing, conspicuous (bold or uppercase), specifically identifies the warranties being waived, and is unambiguous. Generic boilerplate — "any other warranties express or implied" or simple "as-is" language — has been held ineffective to waive the implied warranty of habitability. A homeowner who closed on a production builder's standard contract should not assume the warranty was successfully disclaimed without reading the actual disclaimer page closely.</w:t>
      </w:r>
    </w:p>
    <w:p>
      <w:pPr>
        <w:pStyle w:val="Heading2"/>
        <w:keepNext/>
        <w:spacing w:after="120" w:before="260"/>
      </w:pPr>
      <w:r>
        <w:rPr>
          <w:rFonts w:ascii="Calibri" w:cs="Calibri" w:eastAsia="Calibri" w:hAnsi="Calibri"/>
          <w:b/>
          <w:bCs/>
          <w:color w:val="2B2B2B"/>
          <w:sz w:val="28"/>
          <w:szCs w:val="28"/>
        </w:rPr>
        <w:t xml:space="preserve">Remedies</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where reasonable; diminution in fair market value where cost of repair would be economically wasteful. Consequential damages recoverable in contract where reasonably foreseeable. Attorney's fees not recoverable on the common-law implied warranty alone (Florida follows the American Rule); fees ride on a contract clause, FDUTPA, or the proposal-for-settlement statute.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3. Chapter 558 — Notice and Opportunity to Repair</w:t>
      </w:r>
    </w:p>
    <w:p>
      <w:pPr>
        <w:spacing w:after="80" w:before="80" w:line="300"/>
        <w:jc w:val="left"/>
      </w:pPr>
      <w:r>
        <w:rPr>
          <w:rFonts w:ascii="Calibri" w:cs="Calibri" w:eastAsia="Calibri" w:hAnsi="Calibri"/>
          <w:b w:val="false"/>
          <w:bCs w:val="false"/>
          <w:i w:val="false"/>
          <w:iCs w:val="false"/>
          <w:color w:val="2B2B2B"/>
          <w:sz w:val="22"/>
          <w:szCs w:val="22"/>
        </w:rPr>
        <w:t xml:space="preserve">Chapter 558 is Florida's mandatory pre-suit notice scheme. Skipping it does not destroy the lawsuit — the court stays the action until the homeowner complies. Practitioners and builders alike sometimes misstate this.</w:t>
      </w:r>
    </w:p>
    <w:p>
      <w:pPr>
        <w:pStyle w:val="Heading2"/>
        <w:keepNext/>
        <w:spacing w:after="120" w:before="260"/>
      </w:pPr>
      <w:r>
        <w:rPr>
          <w:rFonts w:ascii="Calibri" w:cs="Calibri" w:eastAsia="Calibri" w:hAnsi="Calibri"/>
          <w:b/>
          <w:bCs/>
          <w:color w:val="2B2B2B"/>
          <w:sz w:val="28"/>
          <w:szCs w:val="28"/>
        </w:rPr>
        <w:t xml:space="preserve">Who and what is covered</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Construction defect </w:t>
      </w:r>
      <w:r>
        <w:rPr>
          <w:rFonts w:ascii="Calibri" w:cs="Calibri" w:eastAsia="Calibri" w:hAnsi="Calibri"/>
          <w:color w:val="2B2B2B"/>
          <w:sz w:val="22"/>
          <w:szCs w:val="22"/>
        </w:rPr>
        <w:t xml:space="preserve">(§ 558.002(5)) means a deficiency arising from defective materials, products, or components; violation of applicable building codes; failure of the design to meet professional standards at the time of governmental approval; or failure to construct in accordance with accepted trade standards for good and workmanlike construction.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Claimant </w:t>
      </w:r>
      <w:r>
        <w:rPr>
          <w:rFonts w:ascii="Calibri" w:cs="Calibri" w:eastAsia="Calibri" w:hAnsi="Calibri"/>
          <w:color w:val="2B2B2B"/>
          <w:sz w:val="22"/>
          <w:szCs w:val="22"/>
        </w:rPr>
        <w:t xml:space="preserve">is any property owner, homeowners' association, or condominium association asserting a construction defect.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Respondent </w:t>
      </w:r>
      <w:r>
        <w:rPr>
          <w:rFonts w:ascii="Calibri" w:cs="Calibri" w:eastAsia="Calibri" w:hAnsi="Calibri"/>
          <w:color w:val="2B2B2B"/>
          <w:sz w:val="22"/>
          <w:szCs w:val="22"/>
        </w:rPr>
        <w:t xml:space="preserve">is the contractor, subcontractor, supplier, or design professional alleged to have caused the defect.</w:t>
      </w:r>
    </w:p>
    <w:p>
      <w:pPr>
        <w:pStyle w:val="Heading2"/>
        <w:keepNext/>
        <w:spacing w:after="120" w:before="260"/>
      </w:pPr>
      <w:r>
        <w:rPr>
          <w:rFonts w:ascii="Calibri" w:cs="Calibri" w:eastAsia="Calibri" w:hAnsi="Calibri"/>
          <w:b/>
          <w:bCs/>
          <w:color w:val="2B2B2B"/>
          <w:sz w:val="28"/>
          <w:szCs w:val="28"/>
        </w:rPr>
        <w:t xml:space="preserve">The mandatory notice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Step</w:t>
            </w:r>
          </w:p>
        </w:tc>
        <w:tc>
          <w:tcPr>
            <w:tcW w:type="dxa" w:w="6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Detail</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Claimant serves written notice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Single-family homeowner: at least 60 days before filing suit. Association representing more than 20 parcels or units: at least 120 days. The notice must describe each alleged defect in reasonable detail based on at least a visual inspection, with location information sufficient to enable the respondent to locate the defect without undue burden (§ 558.004(1)).</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Respondent's inspection window</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30 days of receiving the notice (50 days for associations representing more than 20 parcels), the respondent may inspect, perform destructive testing with reasonable notice and access, and serve a written response.</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Respondent's written response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Offer to repair the alleged defect at no cost; offer to settle by monetary payment, repair, or both; offer to settle without inspection; or written dispute of the claim with a statement of the basis (§ 558.004(5)).</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Claimant's response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45 days of receiving the respondent's offer, the claimant must accept, reject, or counter in writing.</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Consequence of skipping</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homeowner files suit without serving the notice and completing the procedure, the court must stay the action upon motion until the claimant complies (§ 558.003). This is not a jurisdictional bar — the case is not dismissed, just paused.</w:t>
            </w:r>
          </w:p>
        </w:tc>
      </w:tr>
    </w:tbl>
    <w:p>
      <w:pPr>
        <w:pStyle w:val="Heading2"/>
        <w:keepNext/>
        <w:spacing w:after="120" w:before="260"/>
      </w:pPr>
      <w:r>
        <w:rPr>
          <w:rFonts w:ascii="Calibri" w:cs="Calibri" w:eastAsia="Calibri" w:hAnsi="Calibri"/>
          <w:b/>
          <w:bCs/>
          <w:color w:val="2B2B2B"/>
          <w:sz w:val="28"/>
          <w:szCs w:val="28"/>
        </w:rPr>
        <w:t xml:space="preserve">Builder's contract disclosure obligation</w:t>
      </w:r>
    </w:p>
    <w:p>
      <w:pPr>
        <w:spacing w:after="80" w:before="80" w:line="300"/>
        <w:jc w:val="left"/>
      </w:pPr>
      <w:r>
        <w:rPr>
          <w:rFonts w:ascii="Calibri" w:cs="Calibri" w:eastAsia="Calibri" w:hAnsi="Calibri"/>
          <w:b w:val="false"/>
          <w:bCs w:val="false"/>
          <w:i w:val="false"/>
          <w:iCs w:val="false"/>
          <w:color w:val="2B2B2B"/>
          <w:sz w:val="22"/>
          <w:szCs w:val="22"/>
        </w:rPr>
        <w:t xml:space="preserve">Section 558.005 requires every written contract for improvement of real property between an owner and a contractor or design professional entered into after October 1, 2009 to contain a specific Chapter-558 notice provision. Failure of that disclosure does not relieve the homeowner from giving notice, but it is useful evidence in any later dispute about good faith and the homeowner's understanding.</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4. Statute of Limitations and Repose — Senate Bill 360 (2023)</w:t>
      </w:r>
    </w:p>
    <w:p>
      <w:pPr>
        <w:spacing w:after="80" w:before="80" w:line="300"/>
        <w:jc w:val="left"/>
      </w:pPr>
      <w:r>
        <w:rPr>
          <w:rFonts w:ascii="Calibri" w:cs="Calibri" w:eastAsia="Calibri" w:hAnsi="Calibri"/>
          <w:b/>
          <w:bCs/>
          <w:i w:val="false"/>
          <w:iCs w:val="false"/>
          <w:color w:val="2B2B2B"/>
          <w:sz w:val="22"/>
          <w:szCs w:val="22"/>
        </w:rPr>
        <w:t xml:space="preserve">Critical 2023 amendment. </w:t>
      </w:r>
      <w:r>
        <w:rPr>
          <w:rFonts w:ascii="Calibri" w:cs="Calibri" w:eastAsia="Calibri" w:hAnsi="Calibri"/>
          <w:color w:val="2B2B2B"/>
          <w:sz w:val="22"/>
          <w:szCs w:val="22"/>
        </w:rPr>
        <w:t xml:space="preserve">Senate Bill 360, signed and effective April 13, 2023, substantially rewrote Florida's construction-defect limitations and repose statute. The statute of repose was cut from ten years to seven years, and the triggers for both limitations and repose were redefined. Homeowner-side materials that still cite a ten-year repose or a "date of completion" or "date of actual possession" trigger are out of date.</w:t>
      </w:r>
    </w:p>
    <w:p>
      <w:pPr>
        <w:spacing w:after="80" w:before="80" w:line="300"/>
        <w:jc w:val="left"/>
      </w:pPr>
      <w:r>
        <w:rPr>
          <w:rFonts w:ascii="Calibri" w:cs="Calibri" w:eastAsia="Calibri" w:hAnsi="Calibri"/>
          <w:b/>
          <w:bCs/>
          <w:i w:val="false"/>
          <w:iCs w:val="false"/>
          <w:color w:val="2B2B2B"/>
          <w:sz w:val="22"/>
          <w:szCs w:val="22"/>
        </w:rPr>
        <w:t xml:space="preserve">Citation note. </w:t>
      </w:r>
      <w:r>
        <w:rPr>
          <w:rFonts w:ascii="Calibri" w:cs="Calibri" w:eastAsia="Calibri" w:hAnsi="Calibri"/>
          <w:color w:val="2B2B2B"/>
          <w:sz w:val="22"/>
          <w:szCs w:val="22"/>
        </w:rPr>
        <w:t xml:space="preserve">Older sources cite Fla. Stat. § 95.11(3)(c). After SB 360, some current statutory compilations recodify the construction-defect provision as Fla. Stat. § 95.11(3)(b). Both cites appear in current practice; this document uses § 95.11(3)(c) for consistency with most existing practitioner materials, but counsel should confirm the current subsection letter against the canonical Online Sunshine text before filing.</w:t>
      </w:r>
    </w:p>
    <w:p>
      <w:pPr>
        <w:pStyle w:val="Heading2"/>
        <w:keepNext/>
        <w:spacing w:after="120" w:before="260"/>
      </w:pPr>
      <w:r>
        <w:rPr>
          <w:rFonts w:ascii="Calibri" w:cs="Calibri" w:eastAsia="Calibri" w:hAnsi="Calibri"/>
          <w:b/>
          <w:bCs/>
          <w:color w:val="2B2B2B"/>
          <w:sz w:val="28"/>
          <w:szCs w:val="28"/>
        </w:rPr>
        <w:t xml:space="preserve">Current text — the four-year limitations period</w:t>
      </w:r>
    </w:p>
    <w:p>
      <w:pPr>
        <w:spacing w:after="80" w:before="80" w:line="300"/>
        <w:jc w:val="left"/>
      </w:pPr>
      <w:r>
        <w:rPr>
          <w:rFonts w:ascii="Calibri" w:cs="Calibri" w:eastAsia="Calibri" w:hAnsi="Calibri"/>
          <w:b w:val="false"/>
          <w:bCs w:val="false"/>
          <w:i w:val="false"/>
          <w:iCs w:val="false"/>
          <w:color w:val="2B2B2B"/>
          <w:sz w:val="22"/>
          <w:szCs w:val="22"/>
        </w:rPr>
        <w:t xml:space="preserve">Actions founded on the design, planning, or construction of an improvement to real property must be commenced within four years of the date of the issuance of a temporary certificate of occupancy, certificate of occupancy, certificate of completion, or the date of abandonment of construction if not completed — whichever date is earliest. For latent defects (defects not apparent on the exercise of ordinary diligence), the four-year limitations period accrues from the time the defect is discovered or should have been discovered with ordinary diligence.</w:t>
      </w:r>
    </w:p>
    <w:p>
      <w:pPr>
        <w:pStyle w:val="Heading2"/>
        <w:keepNext/>
        <w:spacing w:after="120" w:before="260"/>
      </w:pPr>
      <w:r>
        <w:rPr>
          <w:rFonts w:ascii="Calibri" w:cs="Calibri" w:eastAsia="Calibri" w:hAnsi="Calibri"/>
          <w:b/>
          <w:bCs/>
          <w:color w:val="2B2B2B"/>
          <w:sz w:val="28"/>
          <w:szCs w:val="28"/>
        </w:rPr>
        <w:t xml:space="preserve">Current text — the seven-year statute of repose</w:t>
      </w:r>
    </w:p>
    <w:p>
      <w:pPr>
        <w:spacing w:after="80" w:before="80" w:line="300"/>
        <w:jc w:val="left"/>
      </w:pPr>
      <w:r>
        <w:rPr>
          <w:rFonts w:ascii="Calibri" w:cs="Calibri" w:eastAsia="Calibri" w:hAnsi="Calibri"/>
          <w:b w:val="false"/>
          <w:bCs w:val="false"/>
          <w:i w:val="false"/>
          <w:iCs w:val="false"/>
          <w:color w:val="2B2B2B"/>
          <w:sz w:val="22"/>
          <w:szCs w:val="22"/>
        </w:rPr>
        <w:t xml:space="preserve">No action may be commenced more than seven years after the earliest of the four triggering dates above. The repose is absolute. There is a narrow special rule for model homes: the period does not begin until the date of the deed transferring title to the first purchaser.</w:t>
      </w:r>
    </w:p>
    <w:p>
      <w:pPr>
        <w:pStyle w:val="Heading2"/>
        <w:keepNext/>
        <w:spacing w:after="120" w:before="260"/>
      </w:pPr>
      <w:r>
        <w:rPr>
          <w:rFonts w:ascii="Calibri" w:cs="Calibri" w:eastAsia="Calibri" w:hAnsi="Calibri"/>
          <w:b/>
          <w:bCs/>
          <w:color w:val="2B2B2B"/>
          <w:sz w:val="28"/>
          <w:szCs w:val="28"/>
        </w:rPr>
        <w:t xml:space="preserve">Multi-building projects</w:t>
      </w:r>
    </w:p>
    <w:p>
      <w:pPr>
        <w:spacing w:after="80" w:before="80" w:line="300"/>
        <w:jc w:val="left"/>
      </w:pPr>
      <w:r>
        <w:rPr>
          <w:rFonts w:ascii="Calibri" w:cs="Calibri" w:eastAsia="Calibri" w:hAnsi="Calibri"/>
          <w:b w:val="false"/>
          <w:bCs w:val="false"/>
          <w:i w:val="false"/>
          <w:iCs w:val="false"/>
          <w:color w:val="2B2B2B"/>
          <w:sz w:val="22"/>
          <w:szCs w:val="22"/>
        </w:rPr>
        <w:t xml:space="preserve">For projects with multiple buildings or improvements, the limitations and repose periods run building-by-building from each building's earliest triggering date.</w:t>
      </w:r>
    </w:p>
    <w:p>
      <w:pPr>
        <w:pStyle w:val="Heading2"/>
        <w:keepNext/>
        <w:spacing w:after="120" w:before="260"/>
      </w:pPr>
      <w:r>
        <w:rPr>
          <w:rFonts w:ascii="Calibri" w:cs="Calibri" w:eastAsia="Calibri" w:hAnsi="Calibri"/>
          <w:b/>
          <w:bCs/>
          <w:color w:val="2B2B2B"/>
          <w:sz w:val="28"/>
          <w:szCs w:val="28"/>
        </w:rPr>
        <w:t xml:space="preserve">Retroactivity and the July 1, 2024 grace period</w:t>
      </w:r>
    </w:p>
    <w:p>
      <w:pPr>
        <w:spacing w:after="80" w:before="80" w:line="300"/>
        <w:jc w:val="left"/>
      </w:pPr>
      <w:r>
        <w:rPr>
          <w:rFonts w:ascii="Calibri" w:cs="Calibri" w:eastAsia="Calibri" w:hAnsi="Calibri"/>
          <w:b w:val="false"/>
          <w:bCs w:val="false"/>
          <w:i w:val="false"/>
          <w:iCs w:val="false"/>
          <w:color w:val="2B2B2B"/>
          <w:sz w:val="22"/>
          <w:szCs w:val="22"/>
        </w:rPr>
        <w:t xml:space="preserve">SB 360 applied to all actions commenced on or after the April 13, 2023 effective date, regardless of when the home was completed. The statute carved out a grace period: a claim that would not have been barred under prior law had to be filed by July 1, 2024. That window has now closed. Constitutional challenges to the retroactivity provision were pending in lower courts as of the time of this writing, but no published appellate decision has invalidated the SB 360 amendments. Counsel should verify the current status before relying on any retroactivity argument.</w:t>
      </w:r>
    </w:p>
    <w:p>
      <w:pPr>
        <w:pStyle w:val="Heading2"/>
        <w:keepNext/>
        <w:spacing w:after="120" w:before="260"/>
      </w:pPr>
      <w:r>
        <w:rPr>
          <w:rFonts w:ascii="Calibri" w:cs="Calibri" w:eastAsia="Calibri" w:hAnsi="Calibri"/>
          <w:b/>
          <w:bCs/>
          <w:color w:val="2B2B2B"/>
          <w:sz w:val="28"/>
          <w:szCs w:val="28"/>
        </w:rPr>
        <w:t xml:space="preserve">Practical implications</w:t>
      </w:r>
    </w:p>
    <w:p>
      <w:pPr>
        <w:pStyle w:val="ListParagraph"/>
        <w:numPr>
          <w:ilvl w:val="0"/>
          <w:numId w:val="2"/>
        </w:numPr>
        <w:spacing w:after="40" w:before="40" w:line="280"/>
      </w:pPr>
      <w:r>
        <w:rPr>
          <w:rFonts w:ascii="Calibri" w:cs="Calibri" w:eastAsia="Calibri" w:hAnsi="Calibri"/>
          <w:color w:val="2B2B2B"/>
          <w:sz w:val="22"/>
          <w:szCs w:val="22"/>
        </w:rPr>
        <w:t xml:space="preserve">Homeowners and counsel should obtain the certificate of occupancy, temporary CO, or certificate of completion from the local building department immediately. The earliest of those documents — or evidence of abandonment if construction was never completed — controls.</w:t>
      </w:r>
    </w:p>
    <w:p>
      <w:pPr>
        <w:pStyle w:val="ListParagraph"/>
        <w:numPr>
          <w:ilvl w:val="0"/>
          <w:numId w:val="2"/>
        </w:numPr>
        <w:spacing w:after="40" w:before="40" w:line="280"/>
      </w:pPr>
      <w:r>
        <w:rPr>
          <w:rFonts w:ascii="Calibri" w:cs="Calibri" w:eastAsia="Calibri" w:hAnsi="Calibri"/>
          <w:color w:val="2B2B2B"/>
          <w:sz w:val="22"/>
          <w:szCs w:val="22"/>
        </w:rPr>
        <w:t xml:space="preserve">Claims on homes substantially completed more than seven years ago are now time-barred outside of the closed grace period, even where the defect was just discovered.</w:t>
      </w:r>
    </w:p>
    <w:p>
      <w:pPr>
        <w:pStyle w:val="ListParagraph"/>
        <w:numPr>
          <w:ilvl w:val="0"/>
          <w:numId w:val="2"/>
        </w:numPr>
        <w:spacing w:after="40" w:before="40" w:line="280"/>
      </w:pPr>
      <w:r>
        <w:rPr>
          <w:rFonts w:ascii="Calibri" w:cs="Calibri" w:eastAsia="Calibri" w:hAnsi="Calibri"/>
          <w:color w:val="2B2B2B"/>
          <w:sz w:val="22"/>
          <w:szCs w:val="22"/>
        </w:rPr>
        <w:t xml:space="preserve">Latent defects discovered within the seven-year repose window still have only four years from discovery to file.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5. All Relevant Limitations Clocks</w:t>
      </w:r>
    </w:p>
    <w:p>
      <w:pPr>
        <w:spacing w:after="80" w:before="80" w:line="300"/>
        <w:jc w:val="left"/>
      </w:pPr>
      <w:r>
        <w:rPr>
          <w:rFonts w:ascii="Calibri" w:cs="Calibri" w:eastAsia="Calibri" w:hAnsi="Calibri"/>
          <w:b w:val="false"/>
          <w:bCs w:val="false"/>
          <w:i w:val="false"/>
          <w:iCs w:val="false"/>
          <w:color w:val="2B2B2B"/>
          <w:sz w:val="22"/>
          <w:szCs w:val="22"/>
        </w:rPr>
        <w:t xml:space="preserve">Multiple clocks run in parallel. Whichever expires first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000"/>
      </w:tblGrid>
      <w:tr>
        <w:trPr>
          <w:tblHeader/>
        </w:trPr>
        <w:tc>
          <w:tcPr>
            <w:tcW w:type="dxa" w:w="3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Theory of liability</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Period</w:t>
            </w:r>
          </w:p>
        </w:tc>
        <w:tc>
          <w:tcPr>
            <w:tcW w:type="dxa" w:w="4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Action founded on construction of improvement — limitations (post-SB 360)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95.11(3)(c))</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Earliest of TCO, CO, certificate of completion, or abandonment. Latent defects: from discovery or when reasonably should have been discovered.</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Same — statute of repose (post-SB 360)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7 years (§ 95.11(3)(c))</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Earliest of the four triggering dates above. Absolute outer bar. Reduced from 10 years by SB 360, effective April 13, 2023.</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5 years (§ 95.11(2)(b))</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oral contract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95.11(3)(k))</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General negligence (post-HB 837)</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95.11(4)(a))</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 Cut from 4 to 2 years by HB 837, effective March 24, 2023.</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FDUTPA — statutory liability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95.11(3)(f))</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violation.</w:t>
            </w:r>
          </w:p>
        </w:tc>
      </w:tr>
    </w:tbl>
    <w:p>
      <w:pPr>
        <w:pStyle w:val="Heading2"/>
        <w:keepNext/>
        <w:spacing w:after="120" w:before="260"/>
      </w:pPr>
      <w:r>
        <w:rPr>
          <w:rFonts w:ascii="Calibri" w:cs="Calibri" w:eastAsia="Calibri" w:hAnsi="Calibri"/>
          <w:b/>
          <w:bCs/>
          <w:color w:val="2B2B2B"/>
          <w:sz w:val="28"/>
          <w:szCs w:val="28"/>
        </w:rPr>
        <w:t xml:space="preserve">Where things get tricky</w:t>
      </w:r>
    </w:p>
    <w:p>
      <w:pPr>
        <w:spacing w:after="80" w:before="80" w:line="300"/>
        <w:jc w:val="left"/>
      </w:pPr>
      <w:r>
        <w:rPr>
          <w:rFonts w:ascii="Calibri" w:cs="Calibri" w:eastAsia="Calibri" w:hAnsi="Calibri"/>
          <w:b w:val="false"/>
          <w:bCs w:val="false"/>
          <w:i w:val="false"/>
          <w:iCs w:val="false"/>
          <w:color w:val="2B2B2B"/>
          <w:sz w:val="22"/>
          <w:szCs w:val="22"/>
        </w:rPr>
        <w:t xml:space="preserve">The § 95.11(3)(c) construction-defect period is the more specific statute and controls over the general written-contract period for actions founded on construction of a real-property improvement. Counsel should plead under both where the facts permit, but should not assume the five-year contract clock survives the four-year construction-defect clock for the same underlying defect.</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6. Pre-Suit Procedure and Demand Letter</w:t>
      </w:r>
    </w:p>
    <w:p>
      <w:pPr>
        <w:pStyle w:val="Heading2"/>
        <w:keepNext/>
        <w:spacing w:after="120" w:before="260"/>
      </w:pPr>
      <w:r>
        <w:rPr>
          <w:rFonts w:ascii="Calibri" w:cs="Calibri" w:eastAsia="Calibri" w:hAnsi="Calibri"/>
          <w:b/>
          <w:bCs/>
          <w:color w:val="2B2B2B"/>
          <w:sz w:val="28"/>
          <w:szCs w:val="28"/>
        </w:rPr>
        <w:t xml:space="preserve">The Chapter 558 notice is mandatory</w:t>
      </w:r>
    </w:p>
    <w:p>
      <w:pPr>
        <w:spacing w:after="80" w:before="80" w:line="300"/>
        <w:jc w:val="left"/>
      </w:pPr>
      <w:r>
        <w:rPr>
          <w:rFonts w:ascii="Calibri" w:cs="Calibri" w:eastAsia="Calibri" w:hAnsi="Calibri"/>
          <w:b w:val="false"/>
          <w:bCs w:val="false"/>
          <w:i w:val="false"/>
          <w:iCs w:val="false"/>
          <w:color w:val="2B2B2B"/>
          <w:sz w:val="22"/>
          <w:szCs w:val="22"/>
        </w:rPr>
        <w:t xml:space="preserve">Skipping the 60-day notice (120 days for associations representing more than 20 parcels) leads to a stay of the lawsuit until the homeowner complies. The stay does not dismiss the case but it pauses everything — including in some courts the running of certain deadlines — and gives the builder leverage. Always serve the notice first and document service carefully.</w:t>
      </w:r>
    </w:p>
    <w:p>
      <w:pPr>
        <w:pStyle w:val="Heading2"/>
        <w:keepNext/>
        <w:spacing w:after="120" w:before="260"/>
      </w:pPr>
      <w:r>
        <w:rPr>
          <w:rFonts w:ascii="Calibri" w:cs="Calibri" w:eastAsia="Calibri" w:hAnsi="Calibri"/>
          <w:b/>
          <w:bCs/>
          <w:color w:val="2B2B2B"/>
          <w:sz w:val="28"/>
          <w:szCs w:val="28"/>
        </w:rPr>
        <w:t xml:space="preserve">Recommended demand letter contents</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homeowner and the property.</w:t>
      </w:r>
    </w:p>
    <w:p>
      <w:pPr>
        <w:pStyle w:val="ListParagraph"/>
        <w:numPr>
          <w:ilvl w:val="0"/>
          <w:numId w:val="2"/>
        </w:numPr>
        <w:spacing w:after="40" w:before="40" w:line="280"/>
      </w:pPr>
      <w:r>
        <w:rPr>
          <w:rFonts w:ascii="Calibri" w:cs="Calibri" w:eastAsia="Calibri" w:hAnsi="Calibri"/>
          <w:color w:val="2B2B2B"/>
          <w:sz w:val="22"/>
          <w:szCs w:val="22"/>
        </w:rPr>
        <w:t xml:space="preserve">Date of issuance of the temporary CO, the CO, or the certificate of completion (whichever is earliest), plus the date the homeowner first noticed each defect.</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contractor by name, DBPR license number, and any known subcontractors.</w:t>
      </w:r>
    </w:p>
    <w:p>
      <w:pPr>
        <w:pStyle w:val="ListParagraph"/>
        <w:numPr>
          <w:ilvl w:val="0"/>
          <w:numId w:val="2"/>
        </w:numPr>
        <w:spacing w:after="40" w:before="40" w:line="280"/>
      </w:pPr>
      <w:r>
        <w:rPr>
          <w:rFonts w:ascii="Calibri" w:cs="Calibri" w:eastAsia="Calibri" w:hAnsi="Calibri"/>
          <w:color w:val="2B2B2B"/>
          <w:sz w:val="22"/>
          <w:szCs w:val="22"/>
        </w:rPr>
        <w:t xml:space="preserve">A reasonably detailed description of each defect, with location, nature, and observed symptoms — based on at least a visual inspection.</w:t>
      </w:r>
    </w:p>
    <w:p>
      <w:pPr>
        <w:pStyle w:val="ListParagraph"/>
        <w:numPr>
          <w:ilvl w:val="0"/>
          <w:numId w:val="2"/>
        </w:numPr>
        <w:spacing w:after="40" w:before="40" w:line="280"/>
      </w:pPr>
      <w:r>
        <w:rPr>
          <w:rFonts w:ascii="Calibri" w:cs="Calibri" w:eastAsia="Calibri" w:hAnsi="Calibri"/>
          <w:color w:val="2B2B2B"/>
          <w:sz w:val="22"/>
          <w:szCs w:val="22"/>
        </w:rPr>
        <w:t xml:space="preserve">For each defect, the legal theory being asserted (implied warranty under Gable/Hesson, breach of written contract, negligence, FDUTPA, breach of express limited warranty).</w:t>
      </w:r>
    </w:p>
    <w:p>
      <w:pPr>
        <w:pStyle w:val="ListParagraph"/>
        <w:numPr>
          <w:ilvl w:val="0"/>
          <w:numId w:val="2"/>
        </w:numPr>
        <w:spacing w:after="40" w:before="40" w:line="280"/>
      </w:pPr>
      <w:r>
        <w:rPr>
          <w:rFonts w:ascii="Calibri" w:cs="Calibri" w:eastAsia="Calibri" w:hAnsi="Calibri"/>
          <w:color w:val="2B2B2B"/>
          <w:sz w:val="22"/>
          <w:szCs w:val="22"/>
        </w:rPr>
        <w:t xml:space="preserve">Any third-party inspection report (general home inspection, structural engineer, master-trade specialist).</w:t>
      </w:r>
    </w:p>
    <w:p>
      <w:pPr>
        <w:pStyle w:val="ListParagraph"/>
        <w:numPr>
          <w:ilvl w:val="0"/>
          <w:numId w:val="2"/>
        </w:numPr>
        <w:spacing w:after="40" w:before="40" w:line="280"/>
      </w:pPr>
      <w:r>
        <w:rPr>
          <w:rFonts w:ascii="Calibri" w:cs="Calibri" w:eastAsia="Calibri" w:hAnsi="Calibri"/>
          <w:color w:val="2B2B2B"/>
          <w:sz w:val="22"/>
          <w:szCs w:val="22"/>
        </w:rPr>
        <w:t xml:space="preserve">Express invocation of Fla. Stat. § 558.004, citing the 60-day notice period and the respondent's options under § 558.004(5).</w:t>
      </w:r>
    </w:p>
    <w:p>
      <w:pPr>
        <w:pStyle w:val="ListParagraph"/>
        <w:numPr>
          <w:ilvl w:val="0"/>
          <w:numId w:val="2"/>
        </w:numPr>
        <w:spacing w:after="40" w:before="40" w:line="280"/>
      </w:pPr>
      <w:r>
        <w:rPr>
          <w:rFonts w:ascii="Calibri" w:cs="Calibri" w:eastAsia="Calibri" w:hAnsi="Calibri"/>
          <w:color w:val="2B2B2B"/>
          <w:sz w:val="22"/>
          <w:szCs w:val="22"/>
        </w:rPr>
        <w:t xml:space="preserve">A proposed inspection access protocol and reasonable dates.</w:t>
      </w:r>
    </w:p>
    <w:p>
      <w:pPr>
        <w:pStyle w:val="ListParagraph"/>
        <w:numPr>
          <w:ilvl w:val="0"/>
          <w:numId w:val="2"/>
        </w:numPr>
        <w:spacing w:after="40" w:before="40" w:line="280"/>
      </w:pPr>
      <w:r>
        <w:rPr>
          <w:rFonts w:ascii="Calibri" w:cs="Calibri" w:eastAsia="Calibri" w:hAnsi="Calibri"/>
          <w:color w:val="2B2B2B"/>
          <w:sz w:val="22"/>
          <w:szCs w:val="22"/>
        </w:rPr>
        <w:t xml:space="preserve">Statement of the remedy sought (repair by contractor at no cost, settlement by monetary payment or repair, repair by independent contractor at builder's cost) and a dollar figure where known.</w:t>
      </w:r>
    </w:p>
    <w:p>
      <w:pPr>
        <w:pStyle w:val="ListParagraph"/>
        <w:numPr>
          <w:ilvl w:val="0"/>
          <w:numId w:val="2"/>
        </w:numPr>
        <w:spacing w:after="40" w:before="40" w:line="280"/>
      </w:pPr>
      <w:r>
        <w:rPr>
          <w:rFonts w:ascii="Calibri" w:cs="Calibri" w:eastAsia="Calibri" w:hAnsi="Calibri"/>
          <w:color w:val="2B2B2B"/>
          <w:sz w:val="22"/>
          <w:szCs w:val="22"/>
        </w:rPr>
        <w:t xml:space="preserve">Reservation of all rights, including under the limited warranty, FDUTPA, the Homeowners' Construction Recovery Fund, and any proposal-for-settlement remedies under § 768.79.</w:t>
      </w:r>
    </w:p>
    <w:p>
      <w:pPr>
        <w:pStyle w:val="ListParagraph"/>
        <w:numPr>
          <w:ilvl w:val="0"/>
          <w:numId w:val="2"/>
        </w:numPr>
        <w:spacing w:after="40" w:before="40" w:line="280"/>
      </w:pPr>
      <w:r>
        <w:rPr>
          <w:rFonts w:ascii="Calibri" w:cs="Calibri" w:eastAsia="Calibri" w:hAnsi="Calibri"/>
          <w:color w:val="2B2B2B"/>
          <w:sz w:val="22"/>
          <w:szCs w:val="22"/>
        </w:rPr>
        <w:t xml:space="preserve">Signature and certified-mail tracking number. Even though Chapter 558 does not specifically require certified mail, it preserves clean proof of service and the start of the 30-day inspection / 60-day overall window.</w:t>
      </w:r>
    </w:p>
    <w:p>
      <w:pPr>
        <w:pStyle w:val="ListParagraph"/>
        <w:numPr>
          <w:ilvl w:val="0"/>
          <w:numId w:val="2"/>
        </w:numPr>
        <w:spacing w:after="40" w:before="40" w:line="280"/>
      </w:pPr>
      <w:r>
        <w:rPr>
          <w:rFonts w:ascii="Calibri" w:cs="Calibri" w:eastAsia="Calibri" w:hAnsi="Calibri"/>
          <w:color w:val="2B2B2B"/>
          <w:sz w:val="22"/>
          <w:szCs w:val="22"/>
        </w:rPr>
        <w:t xml:space="preserve">Attached evidence appendix — photo log, defect schedule, communications log, inspection report.</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7. Complaint Channels</w:t>
      </w:r>
    </w:p>
    <w:p>
      <w:pPr>
        <w:pStyle w:val="Heading2"/>
        <w:keepNext/>
        <w:spacing w:after="120" w:before="260"/>
      </w:pPr>
      <w:r>
        <w:rPr>
          <w:rFonts w:ascii="Calibri" w:cs="Calibri" w:eastAsia="Calibri" w:hAnsi="Calibri"/>
          <w:b/>
          <w:bCs/>
          <w:color w:val="2B2B2B"/>
          <w:sz w:val="28"/>
          <w:szCs w:val="28"/>
        </w:rPr>
        <w:t xml:space="preserve">Florida Department of Business and Professional Regulation — Construction Industry Licensing Board</w:t>
      </w:r>
    </w:p>
    <w:p>
      <w:pPr>
        <w:spacing w:after="80" w:before="80" w:line="300"/>
        <w:jc w:val="left"/>
      </w:pPr>
      <w:r>
        <w:rPr>
          <w:rFonts w:ascii="Calibri" w:cs="Calibri" w:eastAsia="Calibri" w:hAnsi="Calibri"/>
          <w:b w:val="false"/>
          <w:bCs w:val="false"/>
          <w:i w:val="false"/>
          <w:iCs w:val="false"/>
          <w:color w:val="2B2B2B"/>
          <w:sz w:val="22"/>
          <w:szCs w:val="22"/>
        </w:rPr>
        <w:t xml:space="preserve">Florida licenses general contractors, building contractors, residential contractors, and specialty contractors at the state level through DBPR's Construction Industry Licensing Board (CILB) under Chapter 489. A homeowner who has been damaged by a licensed contractor can file a complaint that may result in fines, probation, suspension, revocation, and restitution orders.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License lookup: </w:t>
      </w:r>
      <w:hyperlink w:history="1" r:id="rIdhn-wqvyphyaubegm1vfv5">
        <w:r>
          <w:rPr>
            <w:rFonts w:ascii="Calibri" w:cs="Calibri" w:eastAsia="Calibri" w:hAnsi="Calibri"/>
            <w:color w:val="1F3A68"/>
            <w:sz w:val="22"/>
            <w:szCs w:val="22"/>
            <w:u w:val="single"/>
          </w:rPr>
          <w:t xml:space="preserve">myfloridalicense.com</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Complaint filing: </w:t>
      </w:r>
      <w:hyperlink w:history="1" r:id="rIdg4amqqihugowsbzaru5ef">
        <w:r>
          <w:rPr>
            <w:rFonts w:ascii="Calibri" w:cs="Calibri" w:eastAsia="Calibri" w:hAnsi="Calibri"/>
            <w:color w:val="1F3A68"/>
            <w:sz w:val="22"/>
            <w:szCs w:val="22"/>
            <w:u w:val="single"/>
          </w:rPr>
          <w:t xml:space="preserve">myfloridalicense.com — file a complaint</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Contractor license number disclosure: </w:t>
      </w:r>
      <w:r>
        <w:rPr>
          <w:rFonts w:ascii="Calibri" w:cs="Calibri" w:eastAsia="Calibri" w:hAnsi="Calibri"/>
          <w:color w:val="2B2B2B"/>
          <w:sz w:val="22"/>
          <w:szCs w:val="22"/>
        </w:rPr>
        <w:t xml:space="preserve">Section 489.119(5) requires the contractor's license number to appear on every contract, bid, proposal, advertisement, website, email, social media, and on vehicles bearing the contractor's name. Missing license-number disclosure is a regulatory violation.</w:t>
      </w:r>
    </w:p>
    <w:p>
      <w:pPr>
        <w:pStyle w:val="Heading2"/>
        <w:keepNext/>
        <w:spacing w:after="120" w:before="260"/>
      </w:pPr>
      <w:r>
        <w:rPr>
          <w:rFonts w:ascii="Calibri" w:cs="Calibri" w:eastAsia="Calibri" w:hAnsi="Calibri"/>
          <w:b/>
          <w:bCs/>
          <w:color w:val="2B2B2B"/>
          <w:sz w:val="28"/>
          <w:szCs w:val="28"/>
        </w:rPr>
        <w:t xml:space="preserve">Florida Homeowners' Construction Recovery Fund — Fla. Stat. § 489.140</w:t>
      </w:r>
    </w:p>
    <w:p>
      <w:pPr>
        <w:spacing w:after="80" w:before="80" w:line="300"/>
        <w:jc w:val="left"/>
      </w:pPr>
      <w:r>
        <w:rPr>
          <w:rFonts w:ascii="Calibri" w:cs="Calibri" w:eastAsia="Calibri" w:hAnsi="Calibri"/>
          <w:b w:val="false"/>
          <w:bCs w:val="false"/>
          <w:i w:val="false"/>
          <w:iCs w:val="false"/>
          <w:color w:val="2B2B2B"/>
          <w:sz w:val="22"/>
          <w:szCs w:val="22"/>
        </w:rPr>
        <w:t xml:space="preserve">A state-administered fund that pays homeowners who have obtained a final judgment, arbitration award, or restitution order against a licensed contractor and have been unable to collect. The caps depend on the date the construction contract was signed.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rPr>
          <w:tblHeader/>
        </w:trPr>
        <w:tc>
          <w:tcPr>
            <w:tcW w:type="dxa" w:w="3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Cap type</w:t>
            </w:r>
          </w:p>
        </w:tc>
        <w:tc>
          <w:tcPr>
            <w:tcW w:type="dxa" w:w="318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Contracts signed before July 1, 2024</w:t>
            </w:r>
          </w:p>
        </w:tc>
        <w:tc>
          <w:tcPr>
            <w:tcW w:type="dxa" w:w="318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Contracts signed on or after July 1, 2024 (payments effective January 1, 2025)</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Per claim — Division I (general, building, residential)</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$50,000</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$100,000</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Per claim — Division II (specialty)</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$15,000</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$30,000</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Aggregate per licensee — Division I</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$500,000</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$2,000,000</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Aggregate per licensee — Division II</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$150,000 (varies; verify)</w:t>
            </w:r>
          </w:p>
        </w:tc>
        <w:tc>
          <w:tcPr>
            <w:tcW w:type="dxa" w:w="31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$600,000</w:t>
            </w:r>
          </w:p>
        </w:tc>
      </w:tr>
    </w:tbl>
    <w:p>
      <w:pPr>
        <w:pStyle w:val="ListParagraph"/>
        <w:numPr>
          <w:ilvl w:val="0"/>
          <w:numId w:val="2"/>
        </w:numPr>
        <w:spacing w:after="40" w:before="40" w:line="280"/>
      </w:pPr>
      <w:r>
        <w:rPr>
          <w:rFonts w:ascii="Calibri" w:cs="Calibri" w:eastAsia="Calibri" w:hAnsi="Calibri"/>
          <w:color w:val="2B2B2B"/>
          <w:sz w:val="22"/>
          <w:szCs w:val="22"/>
        </w:rPr>
        <w:t xml:space="preserve">Eligibility requires a final judgment, arbitration award, or restitution order for an act on or after July 1, 1993, in connection with the construction or improvement of an owner-occupied residence.</w:t>
      </w:r>
    </w:p>
    <w:p>
      <w:pPr>
        <w:pStyle w:val="ListParagraph"/>
        <w:numPr>
          <w:ilvl w:val="0"/>
          <w:numId w:val="2"/>
        </w:numPr>
        <w:spacing w:after="40" w:before="40" w:line="280"/>
      </w:pPr>
      <w:r>
        <w:rPr>
          <w:rFonts w:ascii="Calibri" w:cs="Calibri" w:eastAsia="Calibri" w:hAnsi="Calibri"/>
          <w:color w:val="2B2B2B"/>
          <w:sz w:val="22"/>
          <w:szCs w:val="22"/>
        </w:rPr>
        <w:t xml:space="preserve">The homeowner must show financial loss and must have exhausted reasonable remedies to collect — including writ of execution against the licensee.</w:t>
      </w:r>
    </w:p>
    <w:p>
      <w:pPr>
        <w:pStyle w:val="ListParagraph"/>
        <w:numPr>
          <w:ilvl w:val="0"/>
          <w:numId w:val="2"/>
        </w:numPr>
        <w:spacing w:after="40" w:before="40" w:line="280"/>
      </w:pPr>
      <w:r>
        <w:rPr>
          <w:rFonts w:ascii="Calibri" w:cs="Calibri" w:eastAsia="Calibri" w:hAnsi="Calibri"/>
          <w:color w:val="2B2B2B"/>
          <w:sz w:val="22"/>
          <w:szCs w:val="22"/>
        </w:rPr>
        <w:t xml:space="preserve">The claim must be filed with the Department within strict time limits — generally one year from the conclusion of all proceedings, including appeals.</w:t>
      </w:r>
    </w:p>
    <w:p>
      <w:pPr>
        <w:pStyle w:val="ListParagraph"/>
        <w:numPr>
          <w:ilvl w:val="0"/>
          <w:numId w:val="2"/>
        </w:numPr>
        <w:spacing w:after="40" w:before="40" w:line="280"/>
      </w:pPr>
      <w:r>
        <w:rPr>
          <w:rFonts w:ascii="Calibri" w:cs="Calibri" w:eastAsia="Calibri" w:hAnsi="Calibri"/>
          <w:color w:val="2B2B2B"/>
          <w:sz w:val="22"/>
          <w:szCs w:val="22"/>
        </w:rPr>
        <w:t xml:space="preserve">Older articles and intake materials often cite only the pre-July 2024 caps. Counsel should verify the contract date and apply the current caps accordingly.</w:t>
      </w:r>
    </w:p>
    <w:p>
      <w:pPr>
        <w:pStyle w:val="Heading2"/>
        <w:keepNext/>
        <w:spacing w:after="120" w:before="260"/>
      </w:pPr>
      <w:r>
        <w:rPr>
          <w:rFonts w:ascii="Calibri" w:cs="Calibri" w:eastAsia="Calibri" w:hAnsi="Calibri"/>
          <w:b/>
          <w:bCs/>
          <w:color w:val="2B2B2B"/>
          <w:sz w:val="28"/>
          <w:szCs w:val="28"/>
        </w:rPr>
        <w:t xml:space="preserve">Florida Attorney General — Consumer Protection Division</w:t>
      </w:r>
    </w:p>
    <w:p>
      <w:pPr>
        <w:spacing w:after="80" w:before="80" w:line="300"/>
        <w:jc w:val="left"/>
      </w:pPr>
      <w:r>
        <w:rPr>
          <w:rFonts w:ascii="Calibri" w:cs="Calibri" w:eastAsia="Calibri" w:hAnsi="Calibri"/>
          <w:b w:val="false"/>
          <w:bCs w:val="false"/>
          <w:i w:val="false"/>
          <w:iCs w:val="false"/>
          <w:color w:val="2B2B2B"/>
          <w:sz w:val="22"/>
          <w:szCs w:val="22"/>
        </w:rPr>
        <w:t xml:space="preserve">Handles FDUTPA referrals, deceptive-trade-practice patterns, and consumer complaints. The AG does not litigate individual cases but maintains complaint records that can be used to demonstrate a pattern of misconduct and to support a FDUTPA claim.</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Online complaint: </w:t>
      </w:r>
      <w:hyperlink w:history="1" r:id="rIdg8pan51fquyeiromouj08">
        <w:r>
          <w:rPr>
            <w:rFonts w:ascii="Calibri" w:cs="Calibri" w:eastAsia="Calibri" w:hAnsi="Calibri"/>
            <w:color w:val="1F3A68"/>
            <w:sz w:val="22"/>
            <w:szCs w:val="22"/>
            <w:u w:val="single"/>
          </w:rPr>
          <w:t xml:space="preserve">myfloridalegal.com</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Hotline: </w:t>
      </w:r>
      <w:r>
        <w:rPr>
          <w:rFonts w:ascii="Calibri" w:cs="Calibri" w:eastAsia="Calibri" w:hAnsi="Calibri"/>
          <w:color w:val="2B2B2B"/>
          <w:sz w:val="22"/>
          <w:szCs w:val="22"/>
        </w:rPr>
        <w:t xml:space="preserve">1-866-9-NO-SCAM (1-866-966-7226).</w:t>
      </w:r>
    </w:p>
    <w:p>
      <w:pPr>
        <w:pStyle w:val="Heading2"/>
        <w:keepNext/>
        <w:spacing w:after="120" w:before="260"/>
      </w:pPr>
      <w:r>
        <w:rPr>
          <w:rFonts w:ascii="Calibri" w:cs="Calibri" w:eastAsia="Calibri" w:hAnsi="Calibri"/>
          <w:b/>
          <w:bCs/>
          <w:color w:val="2B2B2B"/>
          <w:sz w:val="28"/>
          <w:szCs w:val="28"/>
        </w:rPr>
        <w:t xml:space="preserve">Local building code enforcement</w:t>
      </w:r>
    </w:p>
    <w:p>
      <w:pPr>
        <w:spacing w:after="80" w:before="80" w:line="300"/>
        <w:jc w:val="left"/>
      </w:pPr>
      <w:r>
        <w:rPr>
          <w:rFonts w:ascii="Calibri" w:cs="Calibri" w:eastAsia="Calibri" w:hAnsi="Calibri"/>
          <w:b w:val="false"/>
          <w:bCs w:val="false"/>
          <w:i w:val="false"/>
          <w:iCs w:val="false"/>
          <w:color w:val="2B2B2B"/>
          <w:sz w:val="22"/>
          <w:szCs w:val="22"/>
        </w:rPr>
        <w:t xml:space="preserve">Permits and inspections are administered at the local level under the Florida Building Code. Code-violation complaints to the local Building Department can trigger re-inspection, stop-work orders, or certificate-of-occupancy revocation. Florida's CO and TCO documents are now central to the SB 360 limitations analysis, so request copies as part of any defect intake.</w:t>
      </w:r>
    </w:p>
    <w:p>
      <w:pPr>
        <w:pStyle w:val="Heading2"/>
        <w:keepNext/>
        <w:spacing w:after="120" w:before="260"/>
      </w:pPr>
      <w:r>
        <w:rPr>
          <w:rFonts w:ascii="Calibri" w:cs="Calibri" w:eastAsia="Calibri" w:hAnsi="Calibri"/>
          <w:b/>
          <w:bCs/>
          <w:color w:val="2B2B2B"/>
          <w:sz w:val="28"/>
          <w:szCs w:val="28"/>
        </w:rPr>
        <w:t xml:space="preserve">Industry associations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Florida Home Builders Association: </w:t>
      </w:r>
      <w:hyperlink w:history="1" r:id="rIdiqqjq8ugvp0pndvutmuw9">
        <w:r>
          <w:rPr>
            <w:rFonts w:ascii="Calibri" w:cs="Calibri" w:eastAsia="Calibri" w:hAnsi="Calibri"/>
            <w:color w:val="1F3A68"/>
            <w:sz w:val="22"/>
            <w:szCs w:val="22"/>
            <w:u w:val="single"/>
          </w:rPr>
          <w:t xml:space="preserve">fhba.com</w:t>
        </w:r>
      </w:hyperlink>
      <w:r>
        <w:rPr>
          <w:rFonts w:ascii="Calibri" w:cs="Calibri" w:eastAsia="Calibri" w:hAnsi="Calibri"/>
          <w:color w:val="2B2B2B"/>
          <w:sz w:val="22"/>
          <w:szCs w:val="22"/>
        </w:rPr>
        <w:t xml:space="preserve">. Local chapters in every major metro. Generally do not run binding dispute-resolution but may provide informal mediation referrals.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Better Business Bureau: </w:t>
      </w:r>
      <w:hyperlink w:history="1" r:id="rIdvdgwdx9_c4xokc0ipmflx">
        <w:r>
          <w:rPr>
            <w:rFonts w:ascii="Calibri" w:cs="Calibri" w:eastAsia="Calibri" w:hAnsi="Calibri"/>
            <w:color w:val="1F3A68"/>
            <w:sz w:val="22"/>
            <w:szCs w:val="22"/>
            <w:u w:val="single"/>
          </w:rPr>
          <w:t xml:space="preserve">bbb.org</w:t>
        </w:r>
      </w:hyperlink>
      <w:r>
        <w:rPr>
          <w:rFonts w:ascii="Calibri" w:cs="Calibri" w:eastAsia="Calibri" w:hAnsi="Calibri"/>
          <w:color w:val="2B2B2B"/>
          <w:sz w:val="22"/>
          <w:szCs w:val="22"/>
        </w:rPr>
        <w:t xml:space="preserve">. Non-binding complaint and mediation services.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8. Court Jurisdiction (effective January 1, 2023)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000"/>
        <w:gridCol w:w="2560"/>
      </w:tblGrid>
      <w:tr>
        <w:trPr>
          <w:tblHeader/>
        </w:trPr>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Court</w:t>
            </w:r>
          </w:p>
        </w:tc>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Dollar limit</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Statute</w:t>
            </w:r>
          </w:p>
        </w:tc>
        <w:tc>
          <w:tcPr>
            <w:tcW w:type="dxa" w:w="25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Notes</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Small Claims (within County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$8,000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34.01; Fla. Sm. Cl. R.</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Raised from $5,000 effective January 1, 2020.</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County Civil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$8,000.01–$50,000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34.01</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Raised from $15,000 to $30,000 effective January 1, 2020, then to $50,000 effective January 1, 2023.</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Circuit Civil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Over $50,000 (no upper cap)</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26.012</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Full discovery; jury trial available; most meaningful defect cases proceed here.</w:t>
            </w:r>
          </w:p>
        </w:tc>
      </w:tr>
    </w:tbl>
    <w:p>
      <w:pPr>
        <w:spacing w:after="80" w:before="120" w:line="300"/>
        <w:jc w:val="left"/>
      </w:pPr>
      <w:r>
        <w:rPr>
          <w:rFonts w:ascii="Calibri" w:cs="Calibri" w:eastAsia="Calibri" w:hAnsi="Calibri"/>
          <w:b w:val="false"/>
          <w:bCs w:val="false"/>
          <w:i w:val="false"/>
          <w:iCs w:val="false"/>
          <w:color w:val="2B2B2B"/>
          <w:sz w:val="22"/>
          <w:szCs w:val="22"/>
        </w:rPr>
        <w:t xml:space="preserve">Venue is the circuit or county court of the county where the property sits.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9. Damages</w:t>
      </w:r>
    </w:p>
    <w:p>
      <w:pPr>
        <w:pStyle w:val="Heading2"/>
        <w:keepNext/>
        <w:spacing w:after="120" w:before="260"/>
      </w:pPr>
      <w:r>
        <w:rPr>
          <w:rFonts w:ascii="Calibri" w:cs="Calibri" w:eastAsia="Calibri" w:hAnsi="Calibri"/>
          <w:b/>
          <w:bCs/>
          <w:color w:val="2B2B2B"/>
          <w:sz w:val="28"/>
          <w:szCs w:val="28"/>
        </w:rPr>
        <w:t xml:space="preserve">Measure of damages</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is the standard measure for construction defects. Diminution in fair market value is an alternative where cost of repair would be economically wasteful. Consequential damages — temporary housing, damaged personal property, increased utility costs from defective systems — are recoverable in contract where reasonably foreseeable at contract formation and not validly excluded by the limited warranty.</w:t>
      </w:r>
    </w:p>
    <w:p>
      <w:pPr>
        <w:pStyle w:val="Heading2"/>
        <w:keepNext/>
        <w:spacing w:after="120" w:before="260"/>
      </w:pPr>
      <w:r>
        <w:rPr>
          <w:rFonts w:ascii="Calibri" w:cs="Calibri" w:eastAsia="Calibri" w:hAnsi="Calibri"/>
          <w:b/>
          <w:bCs/>
          <w:color w:val="2B2B2B"/>
          <w:sz w:val="28"/>
          <w:szCs w:val="28"/>
        </w:rPr>
        <w:t xml:space="preserve">Attorney's fees</w:t>
      </w:r>
    </w:p>
    <w:p>
      <w:pPr>
        <w:pStyle w:val="ListParagraph"/>
        <w:numPr>
          <w:ilvl w:val="0"/>
          <w:numId w:val="2"/>
        </w:numPr>
        <w:spacing w:after="40" w:before="40" w:line="280"/>
      </w:pPr>
      <w:r>
        <w:rPr>
          <w:rFonts w:ascii="Calibri" w:cs="Calibri" w:eastAsia="Calibri" w:hAnsi="Calibri"/>
          <w:color w:val="2B2B2B"/>
          <w:sz w:val="22"/>
          <w:szCs w:val="22"/>
        </w:rPr>
        <w:t xml:space="preserve">Florida follows the American Rule. Fees are not recoverable unless authorized by contract or statute.</w:t>
      </w:r>
    </w:p>
    <w:p>
      <w:pPr>
        <w:pStyle w:val="ListParagraph"/>
        <w:numPr>
          <w:ilvl w:val="0"/>
          <w:numId w:val="2"/>
        </w:numPr>
        <w:spacing w:after="40" w:before="40" w:line="280"/>
      </w:pPr>
      <w:r>
        <w:rPr>
          <w:rFonts w:ascii="Calibri" w:cs="Calibri" w:eastAsia="Calibri" w:hAnsi="Calibri"/>
          <w:color w:val="2B2B2B"/>
          <w:sz w:val="22"/>
          <w:szCs w:val="22"/>
        </w:rPr>
        <w:t xml:space="preserve">Section 768.79 — Proposal for Settlement. A defendant who serves a proposal that the plaintiff rejects, where the plaintiff then recovers less than 75 percent of the offer (judgment 25 percent or more below the offer), recovers reasonable attorney's fees and costs from the date of the offer. A plaintiff whose demand the defendant rejects, where the plaintiff then beats the demand by 25 percent or more, recovers fees and costs. Coordinate with Florida Rule of Civil Procedure 1.442.</w:t>
      </w:r>
    </w:p>
    <w:p>
      <w:pPr>
        <w:pStyle w:val="ListParagraph"/>
        <w:numPr>
          <w:ilvl w:val="0"/>
          <w:numId w:val="2"/>
        </w:numPr>
        <w:spacing w:after="40" w:before="40" w:line="280"/>
      </w:pPr>
      <w:r>
        <w:rPr>
          <w:rFonts w:ascii="Calibri" w:cs="Calibri" w:eastAsia="Calibri" w:hAnsi="Calibri"/>
          <w:color w:val="2B2B2B"/>
          <w:sz w:val="22"/>
          <w:szCs w:val="22"/>
        </w:rPr>
        <w:t xml:space="preserve">Section 501.2105 — FDUTPA prevailing-party fees. Two-way: a prevailing defendant can also recover fees, which is a meaningful risk for borderline claims.</w:t>
      </w:r>
    </w:p>
    <w:p>
      <w:pPr>
        <w:pStyle w:val="ListParagraph"/>
        <w:numPr>
          <w:ilvl w:val="0"/>
          <w:numId w:val="2"/>
        </w:numPr>
        <w:spacing w:after="40" w:before="40" w:line="280"/>
      </w:pPr>
      <w:r>
        <w:rPr>
          <w:rFonts w:ascii="Calibri" w:cs="Calibri" w:eastAsia="Calibri" w:hAnsi="Calibri"/>
          <w:color w:val="2B2B2B"/>
          <w:sz w:val="22"/>
          <w:szCs w:val="22"/>
        </w:rPr>
        <w:t xml:space="preserve">Contract clauses are routinely written into builder contracts and are enforceable as written.</w:t>
      </w:r>
    </w:p>
    <w:p>
      <w:pPr>
        <w:pStyle w:val="Heading2"/>
        <w:keepNext/>
        <w:spacing w:after="120" w:before="260"/>
      </w:pPr>
      <w:r>
        <w:rPr>
          <w:rFonts w:ascii="Calibri" w:cs="Calibri" w:eastAsia="Calibri" w:hAnsi="Calibri"/>
          <w:b/>
          <w:bCs/>
          <w:color w:val="2B2B2B"/>
          <w:sz w:val="28"/>
          <w:szCs w:val="28"/>
        </w:rPr>
        <w:t xml:space="preserve">Punitive damages — § 768.73</w:t>
      </w:r>
    </w:p>
    <w:p>
      <w:pPr>
        <w:spacing w:after="80" w:before="80" w:line="300"/>
        <w:jc w:val="left"/>
      </w:pPr>
      <w:r>
        <w:rPr>
          <w:rFonts w:ascii="Calibri" w:cs="Calibri" w:eastAsia="Calibri" w:hAnsi="Calibri"/>
          <w:b w:val="false"/>
          <w:bCs w:val="false"/>
          <w:i w:val="false"/>
          <w:iCs w:val="false"/>
          <w:color w:val="2B2B2B"/>
          <w:sz w:val="22"/>
          <w:szCs w:val="22"/>
        </w:rPr>
        <w:t xml:space="preserve">Base cap: the greater of three times compensatory damages or $500,000. Increased cap of four times compensatory or $2,000,000 where the conduct was motivated solely by unreasonable financial gain and the defendant had actual knowledge of the unreasonable risk. No cap where the defendant had specific intent to harm. HB 837 (2023) tightened pleading standards under § 768.72 but did not change the § 768.73 caps.</w:t>
      </w:r>
    </w:p>
    <w:p>
      <w:pPr>
        <w:pStyle w:val="Heading2"/>
        <w:keepNext/>
        <w:spacing w:after="120" w:before="260"/>
      </w:pPr>
      <w:r>
        <w:rPr>
          <w:rFonts w:ascii="Calibri" w:cs="Calibri" w:eastAsia="Calibri" w:hAnsi="Calibri"/>
          <w:b/>
          <w:bCs/>
          <w:color w:val="2B2B2B"/>
          <w:sz w:val="28"/>
          <w:szCs w:val="28"/>
        </w:rPr>
        <w:t xml:space="preserve">FDUTPA damages</w:t>
      </w:r>
    </w:p>
    <w:p>
      <w:pPr>
        <w:spacing w:after="80" w:before="80" w:line="300"/>
        <w:jc w:val="left"/>
      </w:pPr>
      <w:r>
        <w:rPr>
          <w:rFonts w:ascii="Calibri" w:cs="Calibri" w:eastAsia="Calibri" w:hAnsi="Calibri"/>
          <w:b w:val="false"/>
          <w:bCs w:val="false"/>
          <w:i w:val="false"/>
          <w:iCs w:val="false"/>
          <w:color w:val="2B2B2B"/>
          <w:sz w:val="22"/>
          <w:szCs w:val="22"/>
        </w:rPr>
        <w:t xml:space="preserve">Actual damages recoverable under § 501.211. No treble damages and no punitive damages under FDUTPA — Florida's UDAP statute is more limited than many sister states' versions. Consequential damages have generally not been recoverable under FDUTPA (Rollins v. Heller line). The main value of a FDUTPA claim in a new-home defect case is the fee-shifting provision and the broader range of conduct it captures (deceptive advertising, failure to disclose, unfair practices).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10. Recommended Sequencing</w:t>
      </w:r>
    </w:p>
    <w:p>
      <w:pPr>
        <w:spacing w:after="80" w:before="80" w:line="300"/>
        <w:jc w:val="left"/>
      </w:pPr>
      <w:r>
        <w:rPr>
          <w:rFonts w:ascii="Calibri" w:cs="Calibri" w:eastAsia="Calibri" w:hAnsi="Calibri"/>
          <w:b w:val="false"/>
          <w:bCs w:val="false"/>
          <w:i w:val="false"/>
          <w:iCs w:val="false"/>
          <w:color w:val="2B2B2B"/>
          <w:sz w:val="22"/>
          <w:szCs w:val="22"/>
        </w:rPr>
        <w:t xml:space="preserve">This is a general sequencing template, not a fixed timeline. Specific deadlines depend on the date of the earliest triggering document under § 95.11(3)(c), the date the homeowner first noticed the defect, and the terms of any limited warranty.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w:t>
            </w:r>
          </w:p>
        </w:tc>
        <w:tc>
          <w:tcPr>
            <w:tcW w:type="dxa" w:w="78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Action</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Homeowner first notices the defect. Photograph and date-stamp. Save voicemails, texts, emails. Pull the closing package, the limited warranty, the construction contract, and request copies of the temporary CO, CO, or certificate of completion from the local building department.</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0–7</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Third-party inspection — licensed home inspector, structural engineer, or master-trade specialist. Preserve original report, photographs, moisture-meter readings, and chain of custody.</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Engage Florida counsel. Provide intake form, photo log, communications log, inspection report, and the earliest triggering document.</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Serve the § 558.004 notice on the contractor (and any subcontractors, suppliers, or design professionals) by certified mail, return receipt requested. Single-family homeowner: 60 days before suit. Association representing more than 20 parcels: 120 days.</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14–44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Respondent's 30-day inspection window (50 days for associations representing more than 20 parcels). Respondent may inspect, perform destructive testing with reasonable notice, and serve a written response with one of the § 558.004(5) options.</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44–89</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Claimant's 45-day window to accept, reject, or counter the respondent's offer. If the respondent fails to respond at all, the homeowner may proceed after the 60-day overall notice window has elapsed.</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60+ (90+ for associations)</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no acceptable resolution emerges, file suit. Confirm the 4-year limitations clock under § 95.11(3)(c) has not run from discovery, the 7-year repose has not run from the earliest triggering document, and the 5-year written-contract clock under § 95.11(2)(b) is preserved. File CILB, AG, and BBB complaints in parallel.</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At filing</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File in Circuit Civil Court for claims over $50,000; County Civil Court for $8,000.01–$50,000; Small Claims for under $8,000. Consider serving a proposal for settlement under § 768.79 early to preserve fee-shifting leverage.</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After judgment</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homeowner obtains a final judgment, arbitration award, or restitution order and the contractor fails to pay, file a Homeowners' Construction Recovery Fund claim with DBPR. Apply the correct caps based on the contract signing date (pre- or post-July 1, 2024).</w:t>
            </w:r>
          </w:p>
        </w:tc>
      </w:tr>
    </w:tbl>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11. Common Surprises and Misstatements</w:t>
      </w:r>
    </w:p>
    <w:p>
      <w:pPr>
        <w:pStyle w:val="ListParagraph"/>
        <w:numPr>
          <w:ilvl w:val="0"/>
          <w:numId w:val="3"/>
        </w:numPr>
        <w:spacing w:after="60" w:before="60" w:line="280"/>
      </w:pPr>
      <w:r>
        <w:rPr>
          <w:rFonts w:ascii="Calibri" w:cs="Calibri" w:eastAsia="Calibri" w:hAnsi="Calibri"/>
          <w:color w:val="2B2B2B"/>
          <w:sz w:val="22"/>
          <w:szCs w:val="22"/>
        </w:rPr>
        <w:t xml:space="preserve">The ten-year statute of repose is gone. SB 360 (effective April 13, 2023) cut the repose to seven years from the earliest of TCO, CO, certificate of completion, or abandonment. Homeowner materials still citing a ten-year repose or a "date of completion" or "date of actual possession" trigger are out of date.</w:t>
      </w:r>
    </w:p>
    <w:p>
      <w:pPr>
        <w:pStyle w:val="ListParagraph"/>
        <w:numPr>
          <w:ilvl w:val="0"/>
          <w:numId w:val="3"/>
        </w:numPr>
        <w:spacing w:after="60" w:before="60" w:line="280"/>
      </w:pPr>
      <w:r>
        <w:rPr>
          <w:rFonts w:ascii="Calibri" w:cs="Calibri" w:eastAsia="Calibri" w:hAnsi="Calibri"/>
          <w:color w:val="2B2B2B"/>
          <w:sz w:val="22"/>
          <w:szCs w:val="22"/>
        </w:rPr>
        <w:t xml:space="preserve">Chapter 558's association notice is 120 days, not 90 days. The 90-day figure circulated for years in practitioner shorthand but is incorrect for associations representing more than 20 parcels.</w:t>
      </w:r>
    </w:p>
    <w:p>
      <w:pPr>
        <w:pStyle w:val="ListParagraph"/>
        <w:numPr>
          <w:ilvl w:val="0"/>
          <w:numId w:val="3"/>
        </w:numPr>
        <w:spacing w:after="60" w:before="60" w:line="280"/>
      </w:pPr>
      <w:r>
        <w:rPr>
          <w:rFonts w:ascii="Calibri" w:cs="Calibri" w:eastAsia="Calibri" w:hAnsi="Calibri"/>
          <w:color w:val="2B2B2B"/>
          <w:sz w:val="22"/>
          <w:szCs w:val="22"/>
        </w:rPr>
        <w:t xml:space="preserve">Failure to serve the Chapter 558 notice does not bar the lawsuit. The court stays the action until the homeowner complies. Builder lawyers sometimes overstate this.</w:t>
      </w:r>
    </w:p>
    <w:p>
      <w:pPr>
        <w:pStyle w:val="ListParagraph"/>
        <w:numPr>
          <w:ilvl w:val="0"/>
          <w:numId w:val="3"/>
        </w:numPr>
        <w:spacing w:after="60" w:before="60" w:line="280"/>
      </w:pPr>
      <w:r>
        <w:rPr>
          <w:rFonts w:ascii="Calibri" w:cs="Calibri" w:eastAsia="Calibri" w:hAnsi="Calibri"/>
          <w:color w:val="2B2B2B"/>
          <w:sz w:val="22"/>
          <w:szCs w:val="22"/>
        </w:rPr>
        <w:t xml:space="preserve">Florida's Construction Recovery Fund caps doubled on January 1, 2025 for contracts signed on or after July 1, 2024. Division I per claim is now $100,000 ($50,000 for older contracts), with $2,000,000 aggregate per licensee ($500,000 for older contracts).</w:t>
      </w:r>
    </w:p>
    <w:p>
      <w:pPr>
        <w:pStyle w:val="ListParagraph"/>
        <w:numPr>
          <w:ilvl w:val="0"/>
          <w:numId w:val="3"/>
        </w:numPr>
        <w:spacing w:after="60" w:before="60" w:line="280"/>
      </w:pPr>
      <w:r>
        <w:rPr>
          <w:rFonts w:ascii="Calibri" w:cs="Calibri" w:eastAsia="Calibri" w:hAnsi="Calibri"/>
          <w:color w:val="2B2B2B"/>
          <w:sz w:val="22"/>
          <w:szCs w:val="22"/>
        </w:rPr>
        <w:t xml:space="preserve">Generic disclaimers do not waive the implied warranty of habitability. The disclaimer must be in writing, conspicuous, specific about what is waived, and unambiguous. Boilerplate "as-is" language does not work.</w:t>
      </w:r>
    </w:p>
    <w:p>
      <w:pPr>
        <w:pStyle w:val="ListParagraph"/>
        <w:numPr>
          <w:ilvl w:val="0"/>
          <w:numId w:val="3"/>
        </w:numPr>
        <w:spacing w:after="60" w:before="60" w:line="280"/>
      </w:pPr>
      <w:r>
        <w:rPr>
          <w:rFonts w:ascii="Calibri" w:cs="Calibri" w:eastAsia="Calibri" w:hAnsi="Calibri"/>
          <w:color w:val="2B2B2B"/>
          <w:sz w:val="22"/>
          <w:szCs w:val="22"/>
        </w:rPr>
        <w:t xml:space="preserve">FDUTPA applies to new-home sales in Florida, unlike many sister states' UDAP acts. But FDUTPA has no treble damages and no punitive damages — the main value is the two-way prevailing-party fee provision.</w:t>
      </w:r>
    </w:p>
    <w:p>
      <w:pPr>
        <w:pStyle w:val="ListParagraph"/>
        <w:numPr>
          <w:ilvl w:val="0"/>
          <w:numId w:val="3"/>
        </w:numPr>
        <w:spacing w:after="60" w:before="60" w:line="280"/>
      </w:pPr>
      <w:r>
        <w:rPr>
          <w:rFonts w:ascii="Calibri" w:cs="Calibri" w:eastAsia="Calibri" w:hAnsi="Calibri"/>
          <w:color w:val="2B2B2B"/>
          <w:sz w:val="22"/>
          <w:szCs w:val="22"/>
        </w:rPr>
        <w:t xml:space="preserve">Section 553.835 (2012) effectively killed the Maronda Homes expansion of the implied warranty to off-site improvements. Roads, drainage, retention ponds, and underground utilities outside the lot are now outside the implied warranty. Use contract, tort, or Chapter 718 / Chapter 719 instead.</w:t>
      </w:r>
    </w:p>
    <w:p>
      <w:pPr>
        <w:pStyle w:val="ListParagraph"/>
        <w:numPr>
          <w:ilvl w:val="0"/>
          <w:numId w:val="3"/>
        </w:numPr>
        <w:spacing w:after="60" w:before="60" w:line="280"/>
      </w:pPr>
      <w:r>
        <w:rPr>
          <w:rFonts w:ascii="Calibri" w:cs="Calibri" w:eastAsia="Calibri" w:hAnsi="Calibri"/>
          <w:color w:val="2B2B2B"/>
          <w:sz w:val="22"/>
          <w:szCs w:val="22"/>
        </w:rPr>
        <w:t xml:space="preserve">Subsequent purchasers' rights are unsettled. The prevailing view supports subsequent purchasers suing on the original implied warranty if limitations and repose have not expired, but counsel should not assume the issue is closed.</w:t>
      </w:r>
    </w:p>
    <w:p>
      <w:pPr>
        <w:pStyle w:val="ListParagraph"/>
        <w:numPr>
          <w:ilvl w:val="0"/>
          <w:numId w:val="3"/>
        </w:numPr>
        <w:spacing w:after="60" w:before="60" w:line="280"/>
      </w:pPr>
      <w:r>
        <w:rPr>
          <w:rFonts w:ascii="Calibri" w:cs="Calibri" w:eastAsia="Calibri" w:hAnsi="Calibri"/>
          <w:color w:val="2B2B2B"/>
          <w:sz w:val="22"/>
          <w:szCs w:val="22"/>
        </w:rPr>
        <w:t xml:space="preserve">HB 837 (effective March 24, 2023) cut general negligence limitations from four years to two years. It did not change the construction-defect periods under § 95.11(3)(c), but it changed the broader litigation environment — comparative fault, proposal for settlement, bad faith, and pleading standards all moved.</w:t>
      </w:r>
    </w:p>
    <w:p>
      <w:pPr>
        <w:pStyle w:val="ListParagraph"/>
        <w:numPr>
          <w:ilvl w:val="0"/>
          <w:numId w:val="3"/>
        </w:numPr>
        <w:spacing w:after="60" w:before="60" w:line="280"/>
      </w:pPr>
      <w:r>
        <w:rPr>
          <w:rFonts w:ascii="Calibri" w:cs="Calibri" w:eastAsia="Calibri" w:hAnsi="Calibri"/>
          <w:color w:val="2B2B2B"/>
          <w:sz w:val="22"/>
          <w:szCs w:val="22"/>
        </w:rPr>
        <w:t xml:space="preserve">The Homeowners' Construction Recovery Fund requires a final judgment, arbitration award, or restitution order — consent judgments do not qualify. The homeowner must also exhaust reasonable remedies to collect from the licensee before the Fund will pay.</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12. Authority Index</w:t>
      </w:r>
    </w:p>
    <w:p>
      <w:pPr>
        <w:pStyle w:val="Heading2"/>
        <w:keepNext/>
        <w:spacing w:after="120" w:before="260"/>
      </w:pPr>
      <w:r>
        <w:rPr>
          <w:rFonts w:ascii="Calibri" w:cs="Calibri" w:eastAsia="Calibri" w:hAnsi="Calibri"/>
          <w:b/>
          <w:bCs/>
          <w:color w:val="2B2B2B"/>
          <w:sz w:val="28"/>
          <w:szCs w:val="28"/>
        </w:rPr>
        <w:t xml:space="preserve">Florida statutes</w:t>
      </w:r>
    </w:p>
    <w:p>
      <w:pPr>
        <w:pStyle w:val="ListParagraph"/>
        <w:numPr>
          <w:ilvl w:val="0"/>
          <w:numId w:val="2"/>
        </w:numPr>
        <w:spacing w:after="40" w:before="40" w:line="280"/>
      </w:pPr>
      <w:r>
        <w:rPr>
          <w:rFonts w:ascii="Calibri" w:cs="Calibri" w:eastAsia="Calibri" w:hAnsi="Calibri"/>
          <w:color w:val="2B2B2B"/>
          <w:sz w:val="22"/>
          <w:szCs w:val="22"/>
        </w:rPr>
        <w:t xml:space="preserve">Fla. Stat. § 95.11(3)(c) — 4-year limitations and 7-year repose for actions on construction of improvement to real property (post-SB 360).  </w:t>
      </w:r>
      <w:hyperlink w:history="1" r:id="rIdwlt4sobkmk-qczuj_mzvs">
        <w:r>
          <w:rPr>
            <w:rFonts w:ascii="Calibri" w:cs="Calibri" w:eastAsia="Calibri" w:hAnsi="Calibri"/>
            <w:color w:val="1F3A68"/>
            <w:sz w:val="22"/>
            <w:szCs w:val="22"/>
            <w:u w:val="single"/>
          </w:rPr>
          <w:t xml:space="preserve">Online Sunshine</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95.11(2)(b) — 5-year limitations for breach of written contract.  </w:t>
      </w:r>
      <w:hyperlink w:history="1" r:id="rId-gzxeb7xryhphwc64xqxk">
        <w:r>
          <w:rPr>
            <w:rFonts w:ascii="Calibri" w:cs="Calibri" w:eastAsia="Calibri" w:hAnsi="Calibri"/>
            <w:color w:val="1F3A68"/>
            <w:sz w:val="22"/>
            <w:szCs w:val="22"/>
            <w:u w:val="single"/>
          </w:rPr>
          <w:t xml:space="preserve">Online Sunshine</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95.11(4)(a) — 2-year limitations for general negligence (post-HB 837).  </w:t>
      </w:r>
      <w:hyperlink w:history="1" r:id="rIdn8fu8yxdlcj5hrf8t7kaz">
        <w:r>
          <w:rPr>
            <w:rFonts w:ascii="Calibri" w:cs="Calibri" w:eastAsia="Calibri" w:hAnsi="Calibri"/>
            <w:color w:val="1F3A68"/>
            <w:sz w:val="22"/>
            <w:szCs w:val="22"/>
            <w:u w:val="single"/>
          </w:rPr>
          <w:t xml:space="preserve">Online Sunshine</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95.11(3)(f) — 4-year limitations for FDUTPA and other statutory liabilities.  </w:t>
      </w:r>
      <w:hyperlink w:history="1" r:id="rIdi78xuijsyb9qffn8vqgzi">
        <w:r>
          <w:rPr>
            <w:rFonts w:ascii="Calibri" w:cs="Calibri" w:eastAsia="Calibri" w:hAnsi="Calibri"/>
            <w:color w:val="1F3A68"/>
            <w:sz w:val="22"/>
            <w:szCs w:val="22"/>
            <w:u w:val="single"/>
          </w:rPr>
          <w:t xml:space="preserve">Online Sunshine</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Ch. 558 — Construction Defects: Notice and Opportunity to Repair.  </w:t>
      </w:r>
      <w:hyperlink w:history="1" r:id="rIdbsurjbbje3gigck91mxfe">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558.004 — 60-day pre-suit notice (120 days for associations representing more than 20 parcels).  </w:t>
      </w:r>
      <w:hyperlink w:history="1" r:id="rIdcneehilacbh_ea83ktuko">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553.835 — off-site improvements; bar on implied-warranty claims for off-site infrastructure.  </w:t>
      </w:r>
      <w:hyperlink w:history="1" r:id="rIdk1exenm9jvwukqzhq_ww3">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Ch. 489 — Construction Industry Licensing.  </w:t>
      </w:r>
      <w:hyperlink w:history="1" r:id="rIdatisg-b8tbm20sh4e3rhh">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489.119(5) — contractor license number disclosure on contracts, advertising, and vehicles.  </w:t>
      </w:r>
      <w:hyperlink w:history="1" r:id="rIdtezzjb4tng0ztcofzyzmh">
        <w:r>
          <w:rPr>
            <w:rFonts w:ascii="Calibri" w:cs="Calibri" w:eastAsia="Calibri" w:hAnsi="Calibri"/>
            <w:color w:val="1F3A68"/>
            <w:sz w:val="22"/>
            <w:szCs w:val="22"/>
            <w:u w:val="single"/>
          </w:rPr>
          <w:t xml:space="preserve">Online Sunshine</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489.140 — Homeowners' Construction Recovery Fund (updated caps effective Jan. 1, 2025).  </w:t>
      </w:r>
      <w:hyperlink w:history="1" r:id="rIdtwzsdiohmwd9xyotpv6v6">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768.79 — Proposal for Settlement / Offer of Judgment.  </w:t>
      </w:r>
      <w:hyperlink w:history="1" r:id="rId-fbzzkflyr7xko6k_4ukg">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768.73 — punitive damages cap.  </w:t>
      </w:r>
      <w:hyperlink w:history="1" r:id="rIdzjwvk7mheqauqyhux7zf2">
        <w:r>
          <w:rPr>
            <w:rFonts w:ascii="Calibri" w:cs="Calibri" w:eastAsia="Calibri" w:hAnsi="Calibri"/>
            <w:color w:val="1F3A68"/>
            <w:sz w:val="22"/>
            <w:szCs w:val="22"/>
            <w:u w:val="single"/>
          </w:rPr>
          <w:t xml:space="preserve">FindLaw</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Ch. 501, Part II — Florida Deceptive and Unfair Trade Practices Act (FDUTPA).  </w:t>
      </w:r>
      <w:hyperlink w:history="1" r:id="rIdot_m6pdhaul1zcoz8bnx9">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Fla. Stat. § 34.01 — County Court jurisdiction; Fla. Stat. § 26.012 — Circuit Court jurisdiction.  </w:t>
      </w:r>
      <w:hyperlink w:history="1" r:id="rIds-huqluguybpp4agmku20">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Senate Bill 360 (2023) — bill text.  </w:t>
      </w:r>
      <w:hyperlink w:history="1" r:id="rIdyig2pxwk77_ouxtgy-boj">
        <w:r>
          <w:rPr>
            <w:rFonts w:ascii="Calibri" w:cs="Calibri" w:eastAsia="Calibri" w:hAnsi="Calibri"/>
            <w:color w:val="1F3A68"/>
            <w:sz w:val="22"/>
            <w:szCs w:val="22"/>
            <w:u w:val="single"/>
          </w:rPr>
          <w:t xml:space="preserve">flsenate.gov</w:t>
        </w:r>
      </w:hyperlink>
    </w:p>
    <w:p>
      <w:pPr>
        <w:pStyle w:val="ListParagraph"/>
        <w:numPr>
          <w:ilvl w:val="0"/>
          <w:numId w:val="2"/>
        </w:numPr>
        <w:spacing w:after="40" w:before="40" w:line="280"/>
      </w:pPr>
      <w:r>
        <w:rPr>
          <w:rFonts w:ascii="Calibri" w:cs="Calibri" w:eastAsia="Calibri" w:hAnsi="Calibri"/>
          <w:color w:val="2B2B2B"/>
          <w:sz w:val="22"/>
          <w:szCs w:val="22"/>
        </w:rPr>
        <w:t xml:space="preserve">House Bill 837 (2023) — bill page.  </w:t>
      </w:r>
      <w:hyperlink w:history="1" r:id="rIdbwqrn0_rep2ieubleqb7g">
        <w:r>
          <w:rPr>
            <w:rFonts w:ascii="Calibri" w:cs="Calibri" w:eastAsia="Calibri" w:hAnsi="Calibri"/>
            <w:color w:val="1F3A68"/>
            <w:sz w:val="22"/>
            <w:szCs w:val="22"/>
            <w:u w:val="single"/>
          </w:rPr>
          <w:t xml:space="preserve">flsenate.gov</w:t>
        </w:r>
      </w:hyperlink>
    </w:p>
    <w:p>
      <w:pPr>
        <w:pStyle w:val="Heading2"/>
        <w:keepNext/>
        <w:spacing w:after="120" w:before="260"/>
      </w:pPr>
      <w:r>
        <w:rPr>
          <w:rFonts w:ascii="Calibri" w:cs="Calibri" w:eastAsia="Calibri" w:hAnsi="Calibri"/>
          <w:b/>
          <w:bCs/>
          <w:color w:val="2B2B2B"/>
          <w:sz w:val="28"/>
          <w:szCs w:val="28"/>
        </w:rPr>
        <w:t xml:space="preserve">Florida case law</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Gable v. Silver</w:t>
      </w:r>
      <w:r>
        <w:rPr>
          <w:rFonts w:ascii="Calibri" w:cs="Calibri" w:eastAsia="Calibri" w:hAnsi="Calibri"/>
          <w:color w:val="2B2B2B"/>
          <w:sz w:val="22"/>
          <w:szCs w:val="22"/>
        </w:rPr>
        <w:t xml:space="preserve">, 258 So. 2d 11 (Fla. 4th DCA 1972), adopted and approved at 264 So. 2d 418 (Fla. 1972) — foundational implied warranty case.  </w:t>
      </w:r>
      <w:hyperlink w:history="1" r:id="rIdr-3v0vnknxii02x98u9gi">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Hesson v. Walmsley Construction Co.</w:t>
      </w:r>
      <w:r>
        <w:rPr>
          <w:rFonts w:ascii="Calibri" w:cs="Calibri" w:eastAsia="Calibri" w:hAnsi="Calibri"/>
          <w:color w:val="2B2B2B"/>
          <w:sz w:val="22"/>
          <w:szCs w:val="22"/>
        </w:rPr>
        <w:t xml:space="preserve">, 422 So. 2d 943 (Fla. 2d DCA 1982) — package sale of new house and lot.  </w:t>
      </w:r>
      <w:hyperlink w:history="1" r:id="rId9pkl7t-_lkg2xwukc1dhh">
        <w:r>
          <w:rPr>
            <w:rFonts w:ascii="Calibri" w:cs="Calibri" w:eastAsia="Calibri" w:hAnsi="Calibri"/>
            <w:color w:val="1F3A68"/>
            <w:sz w:val="22"/>
            <w:szCs w:val="22"/>
            <w:u w:val="single"/>
          </w:rPr>
          <w:t xml:space="preserve">CourtListener</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David v. B&amp;J Holding Corp.</w:t>
      </w:r>
      <w:r>
        <w:rPr>
          <w:rFonts w:ascii="Calibri" w:cs="Calibri" w:eastAsia="Calibri" w:hAnsi="Calibri"/>
          <w:color w:val="2B2B2B"/>
          <w:sz w:val="22"/>
          <w:szCs w:val="22"/>
        </w:rPr>
        <w:t xml:space="preserve">, 349 So. 2d 676 (Fla. 3d DCA 1977) — implied warranty extends to condominium units.</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Drexel Properties, Inc. v. Bay Colony Club Condominium, Inc.</w:t>
      </w:r>
      <w:r>
        <w:rPr>
          <w:rFonts w:ascii="Calibri" w:cs="Calibri" w:eastAsia="Calibri" w:hAnsi="Calibri"/>
          <w:color w:val="2B2B2B"/>
          <w:sz w:val="22"/>
          <w:szCs w:val="22"/>
        </w:rPr>
        <w:t xml:space="preserve">, 406 So. 2d 515 (Fla. 4th DCA 1981) — condominium-unit-owner standing for implied warranty.</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Conklin v. Hurley</w:t>
      </w:r>
      <w:r>
        <w:rPr>
          <w:rFonts w:ascii="Calibri" w:cs="Calibri" w:eastAsia="Calibri" w:hAnsi="Calibri"/>
          <w:color w:val="2B2B2B"/>
          <w:sz w:val="22"/>
          <w:szCs w:val="22"/>
        </w:rPr>
        <w:t xml:space="preserve">, 428 So. 2d 654 (Fla. 1983) — implied warranty does not extend to seawalls on vacant residential lots.  </w:t>
      </w:r>
      <w:hyperlink w:history="1" r:id="rIdozlxdee8cj6qjwp2vitg8">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Maronda Homes, Inc. of Florida v. Lakeview Reserve Homeowners Ass'n</w:t>
      </w:r>
      <w:r>
        <w:rPr>
          <w:rFonts w:ascii="Calibri" w:cs="Calibri" w:eastAsia="Calibri" w:hAnsi="Calibri"/>
          <w:color w:val="2B2B2B"/>
          <w:sz w:val="22"/>
          <w:szCs w:val="22"/>
        </w:rPr>
        <w:t xml:space="preserve">, 127 So. 3d 1258 (Fla. 2013) — implied warranty extends to essential off-site improvements (largely superseded prospectively by § 553.835).  </w:t>
      </w:r>
      <w:hyperlink w:history="1" r:id="rId9s4op_gnefw1c9kkyhhme">
        <w:r>
          <w:rPr>
            <w:rFonts w:ascii="Calibri" w:cs="Calibri" w:eastAsia="Calibri" w:hAnsi="Calibri"/>
            <w:color w:val="1F3A68"/>
            <w:sz w:val="22"/>
            <w:szCs w:val="22"/>
            <w:u w:val="single"/>
          </w:rPr>
          <w:t xml:space="preserve">Justia</w:t>
        </w:r>
      </w:hyperlink>
    </w:p>
    <w:p>
      <w:pPr>
        <w:pStyle w:val="Heading2"/>
        <w:keepNext/>
        <w:spacing w:after="120" w:before="260"/>
      </w:pPr>
      <w:r>
        <w:rPr>
          <w:rFonts w:ascii="Calibri" w:cs="Calibri" w:eastAsia="Calibri" w:hAnsi="Calibri"/>
          <w:b/>
          <w:bCs/>
          <w:color w:val="2B2B2B"/>
          <w:sz w:val="28"/>
          <w:szCs w:val="28"/>
        </w:rPr>
        <w:t xml:space="preserve">Agencies and resources</w:t>
      </w:r>
    </w:p>
    <w:p>
      <w:pPr>
        <w:pStyle w:val="ListParagraph"/>
        <w:numPr>
          <w:ilvl w:val="0"/>
          <w:numId w:val="2"/>
        </w:numPr>
        <w:spacing w:after="40" w:before="40" w:line="280"/>
      </w:pPr>
      <w:r>
        <w:rPr>
          <w:rFonts w:ascii="Calibri" w:cs="Calibri" w:eastAsia="Calibri" w:hAnsi="Calibri"/>
          <w:color w:val="2B2B2B"/>
          <w:sz w:val="22"/>
          <w:szCs w:val="22"/>
        </w:rPr>
        <w:t xml:space="preserve">Florida Department of Business and Professional Regulation (DBPR).  </w:t>
      </w:r>
      <w:hyperlink w:history="1" r:id="rIdj9lcng8il1vvqg8wxbrg8">
        <w:r>
          <w:rPr>
            <w:rFonts w:ascii="Calibri" w:cs="Calibri" w:eastAsia="Calibri" w:hAnsi="Calibri"/>
            <w:color w:val="1F3A68"/>
            <w:sz w:val="22"/>
            <w:szCs w:val="22"/>
            <w:u w:val="single"/>
          </w:rPr>
          <w:t xml:space="preserve">myfloridalicense.com</w:t>
        </w:r>
      </w:hyperlink>
    </w:p>
    <w:p>
      <w:pPr>
        <w:pStyle w:val="ListParagraph"/>
        <w:numPr>
          <w:ilvl w:val="0"/>
          <w:numId w:val="2"/>
        </w:numPr>
        <w:spacing w:after="40" w:before="40" w:line="280"/>
      </w:pPr>
      <w:r>
        <w:rPr>
          <w:rFonts w:ascii="Calibri" w:cs="Calibri" w:eastAsia="Calibri" w:hAnsi="Calibri"/>
          <w:color w:val="2B2B2B"/>
          <w:sz w:val="22"/>
          <w:szCs w:val="22"/>
        </w:rPr>
        <w:t xml:space="preserve">DBPR — Construction Industry Licensing Board.  </w:t>
      </w:r>
      <w:hyperlink w:history="1" r:id="rIdelcedd2fj00uhx43c93rv">
        <w:r>
          <w:rPr>
            <w:rFonts w:ascii="Calibri" w:cs="Calibri" w:eastAsia="Calibri" w:hAnsi="Calibri"/>
            <w:color w:val="1F3A68"/>
            <w:sz w:val="22"/>
            <w:szCs w:val="22"/>
            <w:u w:val="single"/>
          </w:rPr>
          <w:t xml:space="preserve">myfloridalicense.com CILB</w:t>
        </w:r>
      </w:hyperlink>
    </w:p>
    <w:p>
      <w:pPr>
        <w:pStyle w:val="ListParagraph"/>
        <w:numPr>
          <w:ilvl w:val="0"/>
          <w:numId w:val="2"/>
        </w:numPr>
        <w:spacing w:after="40" w:before="40" w:line="280"/>
      </w:pPr>
      <w:r>
        <w:rPr>
          <w:rFonts w:ascii="Calibri" w:cs="Calibri" w:eastAsia="Calibri" w:hAnsi="Calibri"/>
          <w:color w:val="2B2B2B"/>
          <w:sz w:val="22"/>
          <w:szCs w:val="22"/>
        </w:rPr>
        <w:t xml:space="preserve">Florida Attorney General — Consumer Protection.  </w:t>
      </w:r>
      <w:hyperlink w:history="1" r:id="rIdi4jug_wnifklcfrz54tv6">
        <w:r>
          <w:rPr>
            <w:rFonts w:ascii="Calibri" w:cs="Calibri" w:eastAsia="Calibri" w:hAnsi="Calibri"/>
            <w:color w:val="1F3A68"/>
            <w:sz w:val="22"/>
            <w:szCs w:val="22"/>
            <w:u w:val="single"/>
          </w:rPr>
          <w:t xml:space="preserve">myfloridalegal.com</w:t>
        </w:r>
      </w:hyperlink>
    </w:p>
    <w:p>
      <w:pPr>
        <w:pStyle w:val="ListParagraph"/>
        <w:numPr>
          <w:ilvl w:val="0"/>
          <w:numId w:val="2"/>
        </w:numPr>
        <w:spacing w:after="40" w:before="40" w:line="280"/>
      </w:pPr>
      <w:r>
        <w:rPr>
          <w:rFonts w:ascii="Calibri" w:cs="Calibri" w:eastAsia="Calibri" w:hAnsi="Calibri"/>
          <w:color w:val="2B2B2B"/>
          <w:sz w:val="22"/>
          <w:szCs w:val="22"/>
        </w:rPr>
        <w:t xml:space="preserve">Florida Home Builders Association.  </w:t>
      </w:r>
      <w:hyperlink w:history="1" r:id="rId3zvl5jqveuwyyusadfjhe">
        <w:r>
          <w:rPr>
            <w:rFonts w:ascii="Calibri" w:cs="Calibri" w:eastAsia="Calibri" w:hAnsi="Calibri"/>
            <w:color w:val="1F3A68"/>
            <w:sz w:val="22"/>
            <w:szCs w:val="22"/>
            <w:u w:val="single"/>
          </w:rPr>
          <w:t xml:space="preserve">fhba.com</w:t>
        </w:r>
      </w:hyperlink>
    </w:p>
    <w:p>
      <w:pPr>
        <w:pStyle w:val="ListParagraph"/>
        <w:numPr>
          <w:ilvl w:val="0"/>
          <w:numId w:val="2"/>
        </w:numPr>
        <w:spacing w:after="40" w:before="40" w:line="280"/>
      </w:pPr>
      <w:r>
        <w:rPr>
          <w:rFonts w:ascii="Calibri" w:cs="Calibri" w:eastAsia="Calibri" w:hAnsi="Calibri"/>
          <w:color w:val="2B2B2B"/>
          <w:sz w:val="22"/>
          <w:szCs w:val="22"/>
        </w:rPr>
        <w:t xml:space="preserve">Better Business Bureau.  </w:t>
      </w:r>
      <w:hyperlink w:history="1" r:id="rIdvjjhja0ponoxzc9e5qw5w">
        <w:r>
          <w:rPr>
            <w:rFonts w:ascii="Calibri" w:cs="Calibri" w:eastAsia="Calibri" w:hAnsi="Calibri"/>
            <w:color w:val="1F3A68"/>
            <w:sz w:val="22"/>
            <w:szCs w:val="22"/>
            <w:u w:val="single"/>
          </w:rPr>
          <w:t xml:space="preserve">bbb.org</w:t>
        </w:r>
      </w:hyperlink>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13. Disclaimer</w:t>
      </w:r>
    </w:p>
    <w:p>
      <w:pPr>
        <w:spacing w:after="80" w:before="80" w:line="300"/>
        <w:jc w:val="left"/>
      </w:pPr>
      <w:r>
        <w:rPr>
          <w:rFonts w:ascii="Calibri" w:cs="Calibri" w:eastAsia="Calibri" w:hAnsi="Calibri"/>
          <w:b w:val="false"/>
          <w:bCs w:val="false"/>
          <w:i w:val="false"/>
          <w:iCs w:val="false"/>
          <w:color w:val="2B2B2B"/>
          <w:sz w:val="22"/>
          <w:szCs w:val="22"/>
        </w:rPr>
        <w:t xml:space="preserve">This document is general reference material. It is not legal advice. Reading this document does not create an attorney–client relationship. Florida law is in a period of unusual change — Senate Bill 360 (April 2023) and House Bill 837 (March 2023) substantially rewrote the limitations and tort-reform landscape, and the Homeowners' Construction Recovery Fund caps doubled on January 1, 2025 for contracts signed on or after July 1, 2024. Before relying on any citation or procedure described here, the reader should verify it against current Florida authority and consult a licensed Florida attorney about the specific facts at issue. The retroactivity of SB 360 remains contested and is worth re-checking before any client filing.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Florida New Home Construction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B2B2B"/>
      <w:sz w:val="36"/>
      <w:szCs w:val="36"/>
    </w:rPr>
  </w:style>
  <w:style w:type="paragraph" w:styleId="Heading2">
    <w:name w:val="Heading 2"/>
    <w:basedOn w:val="Normal"/>
    <w:next w:val="Normal"/>
    <w:qFormat/>
    <w:pPr>
      <w:spacing w:after="120" w:before="260"/>
      <w:outlineLvl w:val="1"/>
    </w:pPr>
    <w:rPr>
      <w:rFonts w:ascii="Calibri" w:cs="Calibri" w:eastAsia="Calibri" w:hAnsi="Calibri"/>
      <w:b/>
      <w:bCs/>
      <w:color w:val="2B2B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hn-wqvyphyaubegm1vfv5" Type="http://schemas.openxmlformats.org/officeDocument/2006/relationships/hyperlink" Target="https://www.myfloridalicense.com/" TargetMode="External"/><Relationship Id="rIdg4amqqihugowsbzaru5ef" Type="http://schemas.openxmlformats.org/officeDocument/2006/relationships/hyperlink" Target="https://www.myfloridalicense.com/intentions2.asp?chBoard=true&amp;boardid=05" TargetMode="External"/><Relationship Id="rIdg8pan51fquyeiromouj08" Type="http://schemas.openxmlformats.org/officeDocument/2006/relationships/hyperlink" Target="https://www.myfloridalegal.com/consumer-protection" TargetMode="External"/><Relationship Id="rIdiqqjq8ugvp0pndvutmuw9" Type="http://schemas.openxmlformats.org/officeDocument/2006/relationships/hyperlink" Target="https://www.fhba.com/" TargetMode="External"/><Relationship Id="rIdvdgwdx9_c4xokc0ipmflx" Type="http://schemas.openxmlformats.org/officeDocument/2006/relationships/hyperlink" Target="https://www.bbb.org/" TargetMode="External"/><Relationship Id="rIdwlt4sobkmk-qczuj_mzvs" Type="http://schemas.openxmlformats.org/officeDocument/2006/relationships/hyperlink" Target="https://m.flsenate.gov/statutes/95.11" TargetMode="External"/><Relationship Id="rId-gzxeb7xryhphwc64xqxk" Type="http://schemas.openxmlformats.org/officeDocument/2006/relationships/hyperlink" Target="https://m.flsenate.gov/statutes/95.11" TargetMode="External"/><Relationship Id="rIdn8fu8yxdlcj5hrf8t7kaz" Type="http://schemas.openxmlformats.org/officeDocument/2006/relationships/hyperlink" Target="https://m.flsenate.gov/statutes/95.11" TargetMode="External"/><Relationship Id="rIdi78xuijsyb9qffn8vqgzi" Type="http://schemas.openxmlformats.org/officeDocument/2006/relationships/hyperlink" Target="https://m.flsenate.gov/statutes/95.11" TargetMode="External"/><Relationship Id="rIdbsurjbbje3gigck91mxfe" Type="http://schemas.openxmlformats.org/officeDocument/2006/relationships/hyperlink" Target="https://www.flsenate.gov/Laws/Statutes/2025/Chapter558/All" TargetMode="External"/><Relationship Id="rIdcneehilacbh_ea83ktuko" Type="http://schemas.openxmlformats.org/officeDocument/2006/relationships/hyperlink" Target="https://www.flsenate.gov/laws/statutes/2024/0558.004" TargetMode="External"/><Relationship Id="rIdk1exenm9jvwukqzhq_ww3" Type="http://schemas.openxmlformats.org/officeDocument/2006/relationships/hyperlink" Target="https://www.flsenate.gov/laws/statutes/2015/553.835" TargetMode="External"/><Relationship Id="rIdatisg-b8tbm20sh4e3rhh" Type="http://schemas.openxmlformats.org/officeDocument/2006/relationships/hyperlink" Target="https://www.flsenate.gov/Laws/Statutes/2021/Chapter489/All" TargetMode="External"/><Relationship Id="rIdtezzjb4tng0ztcofzyzmh" Type="http://schemas.openxmlformats.org/officeDocument/2006/relationships/hyperlink" Target="https://www.leg.state.fl.us/Statutes/index.cfm?App_mode=Display_Statute&amp;Search_String=&amp;URL=0400-0499/0489/Sections/0489.119.html" TargetMode="External"/><Relationship Id="rIdtwzsdiohmwd9xyotpv6v6" Type="http://schemas.openxmlformats.org/officeDocument/2006/relationships/hyperlink" Target="https://law.justia.com/codes/florida/title-xxxii/chapter-489/part-i/section-489-140/" TargetMode="External"/><Relationship Id="rId-fbzzkflyr7xko6k_4ukg" Type="http://schemas.openxmlformats.org/officeDocument/2006/relationships/hyperlink" Target="https://www.flsenate.gov/Laws/Statutes/2012/768.79" TargetMode="External"/><Relationship Id="rIdzjwvk7mheqauqyhux7zf2" Type="http://schemas.openxmlformats.org/officeDocument/2006/relationships/hyperlink" Target="https://codes.findlaw.com/fl/title-xlv-torts/fl-st-sect-768-73/" TargetMode="External"/><Relationship Id="rIdot_m6pdhaul1zcoz8bnx9" Type="http://schemas.openxmlformats.org/officeDocument/2006/relationships/hyperlink" Target="https://www.flsenate.gov/Laws/Statutes/2024/501.211" TargetMode="External"/><Relationship Id="rIds-huqluguybpp4agmku20" Type="http://schemas.openxmlformats.org/officeDocument/2006/relationships/hyperlink" Target="https://www.flsenate.gov/laws/statutes/2024/34.01" TargetMode="External"/><Relationship Id="rIdyig2pxwk77_ouxtgy-boj" Type="http://schemas.openxmlformats.org/officeDocument/2006/relationships/hyperlink" Target="https://www.flsenate.gov/Session/Bill/2023/360/BillText/Filed/HTML" TargetMode="External"/><Relationship Id="rIdbwqrn0_rep2ieubleqb7g" Type="http://schemas.openxmlformats.org/officeDocument/2006/relationships/hyperlink" Target="https://www.flsenate.gov/Session/Bill/2023/837" TargetMode="External"/><Relationship Id="rIdr-3v0vnknxii02x98u9gi" Type="http://schemas.openxmlformats.org/officeDocument/2006/relationships/hyperlink" Target="https://law.justia.com/cases/florida/supreme-court/1972/42149-0.html" TargetMode="External"/><Relationship Id="rId9pkl7t-_lkg2xwukc1dhh" Type="http://schemas.openxmlformats.org/officeDocument/2006/relationships/hyperlink" Target="https://www.courtlistener.com/opinion/1866056/hesson-v-walmsley-const-co/" TargetMode="External"/><Relationship Id="rIdozlxdee8cj6qjwp2vitg8" Type="http://schemas.openxmlformats.org/officeDocument/2006/relationships/hyperlink" Target="https://law.justia.com/cases/florida/supreme-court/1983/61799-0.html" TargetMode="External"/><Relationship Id="rId9s4op_gnefw1c9kkyhhme" Type="http://schemas.openxmlformats.org/officeDocument/2006/relationships/hyperlink" Target="https://law.justia.com/cases/florida/supreme-court/2013/sc10-2292.html" TargetMode="External"/><Relationship Id="rIdj9lcng8il1vvqg8wxbrg8" Type="http://schemas.openxmlformats.org/officeDocument/2006/relationships/hyperlink" Target="https://www.myfloridalicense.com/" TargetMode="External"/><Relationship Id="rIdelcedd2fj00uhx43c93rv" Type="http://schemas.openxmlformats.org/officeDocument/2006/relationships/hyperlink" Target="https://www.myfloridalicense.com/DBPR/construction-industry/" TargetMode="External"/><Relationship Id="rIdi4jug_wnifklcfrz54tv6" Type="http://schemas.openxmlformats.org/officeDocument/2006/relationships/hyperlink" Target="https://www.myfloridalegal.com/consumer-protection" TargetMode="External"/><Relationship Id="rId3zvl5jqveuwyyusadfjhe" Type="http://schemas.openxmlformats.org/officeDocument/2006/relationships/hyperlink" Target="https://www.fhba.com/" TargetMode="External"/><Relationship Id="rIdvjjhja0ponoxzc9e5qw5w" Type="http://schemas.openxmlformats.org/officeDocument/2006/relationships/hyperlink" Target="https://www.bbb.org/" TargetMode="External"/><Relationship Id="rId3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New Home Construction Warranty Reference</dc:title>
  <dc:creator>New Build Warranty Reference</dc:creator>
  <cp:lastModifiedBy>Un-named</cp:lastModifiedBy>
  <cp:revision>1</cp:revision>
  <dcterms:created xsi:type="dcterms:W3CDTF">2026-05-21T21:28:20.594Z</dcterms:created>
  <dcterms:modified xsi:type="dcterms:W3CDTF">2026-05-21T21:28:20.595Z</dcterms:modified>
</cp:coreProperties>
</file>

<file path=docProps/custom.xml><?xml version="1.0" encoding="utf-8"?>
<Properties xmlns="http://schemas.openxmlformats.org/officeDocument/2006/custom-properties" xmlns:vt="http://schemas.openxmlformats.org/officeDocument/2006/docPropsVTypes"/>
</file>