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400"/>
      </w:pPr>
    </w:p>
    <w:p>
      <w:pPr>
        <w:spacing w:after="80"/>
        <w:jc w:val="center"/>
      </w:pPr>
      <w:r>
        <w:rPr>
          <w:rFonts w:ascii="Calibri" w:cs="Calibri" w:eastAsia="Calibri" w:hAnsi="Calibri"/>
          <w:b/>
          <w:bCs/>
          <w:color w:val="2B2B2B"/>
          <w:sz w:val="60"/>
          <w:szCs w:val="60"/>
        </w:rPr>
        <w:t xml:space="preserve">GEORGIA</w:t>
      </w:r>
    </w:p>
    <w:p>
      <w:pPr>
        <w:spacing w:after="120"/>
        <w:jc w:val="center"/>
      </w:pPr>
      <w:r>
        <w:rPr>
          <w:rFonts w:ascii="Calibri" w:cs="Calibri" w:eastAsia="Calibri" w:hAnsi="Calibri"/>
          <w:b/>
          <w:bCs/>
          <w:color w:val="2B2B2B"/>
          <w:sz w:val="36"/>
          <w:szCs w:val="36"/>
        </w:rPr>
        <w:t xml:space="preserve">New Home Construction Warranty Reference</w:t>
      </w:r>
    </w:p>
    <w:p>
      <w:pPr>
        <w:spacing w:after="720"/>
        <w:jc w:val="center"/>
      </w:pPr>
      <w:r>
        <w:rPr>
          <w:rFonts w:ascii="Calibri" w:cs="Calibri" w:eastAsia="Calibri" w:hAnsi="Calibri"/>
          <w:i/>
          <w:iCs/>
          <w:color w:val="555555"/>
          <w:sz w:val="24"/>
          <w:szCs w:val="24"/>
        </w:rPr>
        <w:t xml:space="preserve">Implied Warranty, Right to Repair Act, Limitations and Repose, FBPA, SLBRGC</w:t>
      </w:r>
    </w:p>
    <w:p>
      <w:pPr>
        <w:spacing w:after="80"/>
        <w:jc w:val="center"/>
      </w:pPr>
      <w:r>
        <w:rPr>
          <w:rFonts w:ascii="Calibri" w:cs="Calibri" w:eastAsia="Calibri" w:hAnsi="Calibri"/>
          <w:color w:val="555555"/>
          <w:sz w:val="22"/>
          <w:szCs w:val="22"/>
        </w:rPr>
        <w:t xml:space="preserve">A general reference for homeowners, real-estate professionals, and counsel</w:t>
      </w:r>
    </w:p>
    <w:p>
      <w:pPr>
        <w:spacing w:after="1200"/>
        <w:jc w:val="center"/>
      </w:pPr>
      <w:r>
        <w:rPr>
          <w:rFonts w:ascii="Calibri" w:cs="Calibri" w:eastAsia="Calibri" w:hAnsi="Calibri"/>
          <w:i/>
          <w:iCs/>
          <w:color w:val="555555"/>
          <w:sz w:val="20"/>
          <w:szCs w:val="20"/>
        </w:rPr>
        <w:t xml:space="preserve">Not legal advice — verify all citations with a licensed Georgia attorney before relying on them.</w:t>
      </w:r>
    </w:p>
    <w:p>
      <w:pPr>
        <w:spacing w:after="80"/>
        <w:jc w:val="center"/>
      </w:pPr>
      <w:r>
        <w:rPr>
          <w:rFonts w:ascii="Calibri" w:cs="Calibri" w:eastAsia="Calibri" w:hAnsi="Calibri"/>
          <w:color w:val="555555"/>
          <w:sz w:val="20"/>
          <w:szCs w:val="20"/>
        </w:rPr>
        <w:t xml:space="preserve">Edition: May 2026</w:t>
      </w:r>
    </w:p>
    <w:p>
      <w:r>
        <w:br w:type="page"/>
      </w:r>
    </w:p>
    <w:p>
      <w:pPr>
        <w:pStyle w:val="Heading1"/>
        <w:keepNext/>
        <w:pBdr>
          <w:bottom w:val="single" w:color="8C8C8C" w:sz="12" w:space="4"/>
        </w:pBdr>
        <w:spacing w:after="180" w:before="360"/>
      </w:pPr>
      <w:r>
        <w:rPr>
          <w:rFonts w:ascii="Calibri" w:cs="Calibri" w:eastAsia="Calibri" w:hAnsi="Calibri"/>
          <w:b/>
          <w:bCs/>
          <w:color w:val="2B2B2B"/>
          <w:sz w:val="36"/>
          <w:szCs w:val="36"/>
        </w:rPr>
        <w:t xml:space="preserve">1. Overview of Georgia's Framework</w:t>
      </w:r>
    </w:p>
    <w:p>
      <w:pPr>
        <w:spacing w:after="120" w:before="80" w:line="300"/>
        <w:jc w:val="left"/>
      </w:pPr>
      <w:r>
        <w:rPr>
          <w:rFonts w:ascii="Calibri" w:cs="Calibri" w:eastAsia="Calibri" w:hAnsi="Calibri"/>
          <w:b w:val="false"/>
          <w:bCs w:val="false"/>
          <w:i w:val="false"/>
          <w:iCs w:val="false"/>
          <w:color w:val="2B2B2B"/>
          <w:sz w:val="22"/>
          <w:szCs w:val="22"/>
        </w:rPr>
        <w:t xml:space="preserve">Georgia's protection for the buyer of a newly constructed home is built from three overlapping layers. Unlike Florida or Alabama, Georgia has no statutory new-home warranty and no state contractor recovery fund. The homeowner's leverage depends heavily on the date of substantial completion because Georgia does not apply a discovery rule to property-damage construction defects.</w:t>
      </w:r>
    </w:p>
    <w:p>
      <w:pPr>
        <w:pStyle w:val="ListParagraph"/>
        <w:numPr>
          <w:ilvl w:val="0"/>
          <w:numId w:val="2"/>
        </w:numPr>
        <w:spacing w:after="40" w:before="40" w:line="280"/>
      </w:pPr>
      <w:r>
        <w:rPr>
          <w:rFonts w:ascii="Calibri" w:cs="Calibri" w:eastAsia="Calibri" w:hAnsi="Calibri"/>
          <w:b/>
          <w:bCs/>
          <w:i w:val="false"/>
          <w:iCs w:val="false"/>
          <w:color w:val="2B2B2B"/>
          <w:sz w:val="22"/>
          <w:szCs w:val="22"/>
        </w:rPr>
        <w:t xml:space="preserve">Common-law implied warranty / duty to build in a fit and workmanlike manner </w:t>
      </w:r>
      <w:r>
        <w:rPr>
          <w:rFonts w:ascii="Calibri" w:cs="Calibri" w:eastAsia="Calibri" w:hAnsi="Calibri"/>
          <w:color w:val="2B2B2B"/>
          <w:sz w:val="22"/>
          <w:szCs w:val="22"/>
        </w:rPr>
        <w:t xml:space="preserve">— a judicially created duty originating in </w:t>
      </w:r>
      <w:r>
        <w:rPr>
          <w:rFonts w:ascii="Calibri" w:cs="Calibri" w:eastAsia="Calibri" w:hAnsi="Calibri"/>
          <w:b w:val="false"/>
          <w:bCs w:val="false"/>
          <w:i/>
          <w:iCs/>
          <w:color w:val="2B2B2B"/>
          <w:sz w:val="22"/>
          <w:szCs w:val="22"/>
        </w:rPr>
        <w:t xml:space="preserve">Holmes v. Worthey</w:t>
      </w:r>
      <w:r>
        <w:rPr>
          <w:rFonts w:ascii="Calibri" w:cs="Calibri" w:eastAsia="Calibri" w:hAnsi="Calibri"/>
          <w:color w:val="2B2B2B"/>
          <w:sz w:val="22"/>
          <w:szCs w:val="22"/>
        </w:rPr>
        <w:t xml:space="preserve">, 159 Ga. App. 262 (1981), affirmed at 249 Ga. 104 (1982). The Georgia Supreme Court abrogated strict caveat emptor for </w:t>
      </w:r>
      <w:r>
        <w:rPr>
          <w:rFonts w:ascii="Calibri" w:cs="Calibri" w:eastAsia="Calibri" w:hAnsi="Calibri"/>
          <w:b w:val="false"/>
          <w:bCs w:val="false"/>
          <w:i/>
          <w:iCs/>
          <w:color w:val="2B2B2B"/>
          <w:sz w:val="22"/>
          <w:szCs w:val="22"/>
        </w:rPr>
        <w:t xml:space="preserve">builder-vendors</w:t>
      </w:r>
      <w:r>
        <w:rPr>
          <w:rFonts w:ascii="Calibri" w:cs="Calibri" w:eastAsia="Calibri" w:hAnsi="Calibri"/>
          <w:color w:val="2B2B2B"/>
          <w:sz w:val="22"/>
          <w:szCs w:val="22"/>
        </w:rPr>
        <w:t xml:space="preserve"> of newly constructed homes. The duty applies to latent defects and survives the closing through the merger-by-deed exception.</w:t>
      </w:r>
    </w:p>
    <w:p>
      <w:pPr>
        <w:pStyle w:val="ListParagraph"/>
        <w:numPr>
          <w:ilvl w:val="0"/>
          <w:numId w:val="2"/>
        </w:numPr>
        <w:spacing w:after="40" w:before="40" w:line="280"/>
      </w:pPr>
      <w:r>
        <w:rPr>
          <w:rFonts w:ascii="Calibri" w:cs="Calibri" w:eastAsia="Calibri" w:hAnsi="Calibri"/>
          <w:b/>
          <w:bCs/>
          <w:i w:val="false"/>
          <w:iCs w:val="false"/>
          <w:color w:val="2B2B2B"/>
          <w:sz w:val="22"/>
          <w:szCs w:val="22"/>
        </w:rPr>
        <w:t xml:space="preserve">Georgia's Right to Repair Act — O.C.G.A. §§ 8-2-35 to 8-2-43 </w:t>
      </w:r>
      <w:r>
        <w:rPr>
          <w:rFonts w:ascii="Calibri" w:cs="Calibri" w:eastAsia="Calibri" w:hAnsi="Calibri"/>
          <w:color w:val="2B2B2B"/>
          <w:sz w:val="22"/>
          <w:szCs w:val="22"/>
        </w:rPr>
        <w:t xml:space="preserve">— mandatory pre-suit notice scheme. The homeowner must give the contractor 90 days' written notice before filing suit. The contractor has 30 days to respond with an offer to inspect, an offer to settle, or a dispute of the claim.</w:t>
      </w:r>
    </w:p>
    <w:p>
      <w:pPr>
        <w:pStyle w:val="ListParagraph"/>
        <w:numPr>
          <w:ilvl w:val="0"/>
          <w:numId w:val="2"/>
        </w:numPr>
        <w:spacing w:after="40" w:before="40" w:line="280"/>
      </w:pPr>
      <w:r>
        <w:rPr>
          <w:rFonts w:ascii="Calibri" w:cs="Calibri" w:eastAsia="Calibri" w:hAnsi="Calibri"/>
          <w:b/>
          <w:bCs/>
          <w:i w:val="false"/>
          <w:iCs w:val="false"/>
          <w:color w:val="2B2B2B"/>
          <w:sz w:val="22"/>
          <w:szCs w:val="22"/>
        </w:rPr>
        <w:t xml:space="preserve">State Licensing Board for Residential and General Contractors (SLBRGC) </w:t>
      </w:r>
      <w:r>
        <w:rPr>
          <w:rFonts w:ascii="Calibri" w:cs="Calibri" w:eastAsia="Calibri" w:hAnsi="Calibri"/>
          <w:color w:val="2B2B2B"/>
          <w:sz w:val="22"/>
          <w:szCs w:val="22"/>
        </w:rPr>
        <w:t xml:space="preserve">under O.C.G.A. §§ 43-41-1 et seq. Licenses residential contractors for projects of $2,500 or more and general contractors for commercial projects of $100,000 or more. Administrative discipline only — Georgia has no contractor recovery fund.</w:t>
      </w:r>
    </w:p>
    <w:p>
      <w:pPr>
        <w:spacing w:after="80" w:before="160" w:line="300"/>
        <w:jc w:val="left"/>
      </w:pPr>
      <w:r>
        <w:rPr>
          <w:rFonts w:ascii="Calibri" w:cs="Calibri" w:eastAsia="Calibri" w:hAnsi="Calibri"/>
          <w:b w:val="false"/>
          <w:bCs w:val="false"/>
          <w:i w:val="false"/>
          <w:iCs w:val="false"/>
          <w:color w:val="2B2B2B"/>
          <w:sz w:val="22"/>
          <w:szCs w:val="22"/>
        </w:rPr>
        <w:t xml:space="preserve">Three background features dominate any Georgia new-home defect analysis:</w:t>
      </w:r>
    </w:p>
    <w:p>
      <w:pPr>
        <w:pStyle w:val="ListParagraph"/>
        <w:numPr>
          <w:ilvl w:val="0"/>
          <w:numId w:val="3"/>
        </w:numPr>
        <w:spacing w:after="60" w:before="60" w:line="280"/>
      </w:pPr>
      <w:r>
        <w:rPr>
          <w:rFonts w:ascii="Calibri" w:cs="Calibri" w:eastAsia="Calibri" w:hAnsi="Calibri"/>
          <w:color w:val="2B2B2B"/>
          <w:sz w:val="22"/>
          <w:szCs w:val="22"/>
        </w:rPr>
        <w:t xml:space="preserve">Georgia does NOT apply a discovery rule to property-damage construction defects under O.C.G.A. § 9-3-30. The four-year limitations period runs from the date of substantial completion, not from the date the homeowner discovers the defect. A latent defect found in year five may already be time-barred under the tort theory unless an alternative theory (six-year written contract, the years 7–8 discovery extension under § 9-3-51, or fraudulent concealment) applies. The only statutory exception to this rule is synthetic exterior siding under § 9-3-30(b).</w:t>
      </w:r>
    </w:p>
    <w:p>
      <w:pPr>
        <w:pStyle w:val="ListParagraph"/>
        <w:numPr>
          <w:ilvl w:val="0"/>
          <w:numId w:val="3"/>
        </w:numPr>
        <w:spacing w:after="60" w:before="60" w:line="280"/>
      </w:pPr>
      <w:r>
        <w:rPr>
          <w:rFonts w:ascii="Calibri" w:cs="Calibri" w:eastAsia="Calibri" w:hAnsi="Calibri"/>
          <w:color w:val="2B2B2B"/>
          <w:sz w:val="22"/>
          <w:szCs w:val="22"/>
        </w:rPr>
        <w:t xml:space="preserve">The eight-year statute of repose under O.C.G.A. § 9-3-51 is an absolute bar to construction-defect claims, including resulting property damage and personal injury, running from the date of substantial completion. A narrow extension allows two years from injury where the injury occurs in the seventh or eighth year, but the total period may not exceed ten years. The repose does not apply to fraud claims.</w:t>
      </w:r>
    </w:p>
    <w:p>
      <w:pPr>
        <w:pStyle w:val="ListParagraph"/>
        <w:numPr>
          <w:ilvl w:val="0"/>
          <w:numId w:val="3"/>
        </w:numPr>
        <w:spacing w:after="60" w:before="60" w:line="280"/>
      </w:pPr>
      <w:r>
        <w:rPr>
          <w:rFonts w:ascii="Calibri" w:cs="Calibri" w:eastAsia="Calibri" w:hAnsi="Calibri"/>
          <w:color w:val="2B2B2B"/>
          <w:sz w:val="22"/>
          <w:szCs w:val="22"/>
        </w:rPr>
        <w:t xml:space="preserve">Georgia has NO state contractor recovery fund. This is the most common surprise for homeowners moving from Florida (CILB Recovery Fund) or Alabama (HBLB Recovery Fund). The civil lawsuit is the only meaningful path to recovery; the SLBRGC can only impose administrative discipline.</w:t>
      </w:r>
    </w:p>
    <w:p>
      <w:pPr>
        <w:pStyle w:val="Heading1"/>
        <w:keepNext/>
        <w:pBdr>
          <w:bottom w:val="single" w:color="8C8C8C" w:sz="12" w:space="4"/>
        </w:pBdr>
        <w:spacing w:after="180" w:before="360"/>
      </w:pPr>
      <w:r>
        <w:rPr>
          <w:rFonts w:ascii="Calibri" w:cs="Calibri" w:eastAsia="Calibri" w:hAnsi="Calibri"/>
          <w:b/>
          <w:bCs/>
          <w:color w:val="2B2B2B"/>
          <w:sz w:val="36"/>
          <w:szCs w:val="36"/>
        </w:rPr>
        <w:t xml:space="preserve">2. The Implied Warranty and the Holmes v. Worthey Doctrine</w:t>
      </w:r>
    </w:p>
    <w:p>
      <w:pPr>
        <w:pStyle w:val="Heading2"/>
        <w:keepNext/>
        <w:spacing w:after="120" w:before="260"/>
      </w:pPr>
      <w:r>
        <w:rPr>
          <w:rFonts w:ascii="Calibri" w:cs="Calibri" w:eastAsia="Calibri" w:hAnsi="Calibri"/>
          <w:b/>
          <w:bCs/>
          <w:color w:val="2B2B2B"/>
          <w:sz w:val="28"/>
          <w:szCs w:val="28"/>
        </w:rPr>
        <w:t xml:space="preserve">Origin and scope</w:t>
      </w:r>
    </w:p>
    <w:p>
      <w:pPr>
        <w:spacing w:after="80" w:before="80" w:line="300"/>
        <w:jc w:val="left"/>
      </w:pPr>
      <w:r>
        <w:rPr>
          <w:rFonts w:ascii="Calibri" w:cs="Calibri" w:eastAsia="Calibri" w:hAnsi="Calibri"/>
          <w:b w:val="false"/>
          <w:bCs w:val="false"/>
          <w:i/>
          <w:iCs/>
          <w:color w:val="2B2B2B"/>
          <w:sz w:val="22"/>
          <w:szCs w:val="22"/>
        </w:rPr>
        <w:t xml:space="preserve">Holmes v. Worthey</w:t>
      </w:r>
      <w:r>
        <w:rPr>
          <w:rFonts w:ascii="Calibri" w:cs="Calibri" w:eastAsia="Calibri" w:hAnsi="Calibri"/>
          <w:color w:val="2B2B2B"/>
          <w:sz w:val="22"/>
          <w:szCs w:val="22"/>
        </w:rPr>
        <w:t xml:space="preserve">, 159 Ga. App. 262, 282 S.E.2d 919 (1981), affirmed sub nom. </w:t>
      </w:r>
      <w:r>
        <w:rPr>
          <w:rFonts w:ascii="Calibri" w:cs="Calibri" w:eastAsia="Calibri" w:hAnsi="Calibri"/>
          <w:b w:val="false"/>
          <w:bCs w:val="false"/>
          <w:i/>
          <w:iCs/>
          <w:color w:val="2B2B2B"/>
          <w:sz w:val="22"/>
          <w:szCs w:val="22"/>
        </w:rPr>
        <w:t xml:space="preserve">Worthey v. Holmes</w:t>
      </w:r>
      <w:r>
        <w:rPr>
          <w:rFonts w:ascii="Calibri" w:cs="Calibri" w:eastAsia="Calibri" w:hAnsi="Calibri"/>
          <w:color w:val="2B2B2B"/>
          <w:sz w:val="22"/>
          <w:szCs w:val="22"/>
        </w:rPr>
        <w:t xml:space="preserve">, 249 Ga. 104, 287 S.E.2d 9 (1982), is Georgia's foundational decision (the parties are reversed on review). The Georgia Supreme Court held that where a builder contracts to build a house and then convey it, the builder's promises as to serviceability and fitness for the intended use </w:t>
      </w:r>
      <w:r>
        <w:rPr>
          <w:rFonts w:ascii="Calibri" w:cs="Calibri" w:eastAsia="Calibri" w:hAnsi="Calibri"/>
          <w:b w:val="false"/>
          <w:bCs w:val="false"/>
          <w:i/>
          <w:iCs/>
          <w:color w:val="2B2B2B"/>
          <w:sz w:val="22"/>
          <w:szCs w:val="22"/>
        </w:rPr>
        <w:t xml:space="preserve">do not merge into the warranty deed</w:t>
      </w:r>
      <w:r>
        <w:rPr>
          <w:rFonts w:ascii="Calibri" w:cs="Calibri" w:eastAsia="Calibri" w:hAnsi="Calibri"/>
          <w:color w:val="2B2B2B"/>
          <w:sz w:val="22"/>
          <w:szCs w:val="22"/>
        </w:rPr>
        <w:t xml:space="preserve">. The buyer may therefore sue post-closing for negligent construction even though the deed has been delivered.</w:t>
      </w:r>
    </w:p>
    <w:p>
      <w:pPr>
        <w:pStyle w:val="Heading2"/>
        <w:keepNext/>
        <w:spacing w:after="120" w:before="260"/>
      </w:pPr>
      <w:r>
        <w:rPr>
          <w:rFonts w:ascii="Calibri" w:cs="Calibri" w:eastAsia="Calibri" w:hAnsi="Calibri"/>
          <w:b/>
          <w:bCs/>
          <w:color w:val="2B2B2B"/>
          <w:sz w:val="28"/>
          <w:szCs w:val="28"/>
        </w:rPr>
        <w:t xml:space="preserve">The builder-vendor distinction</w:t>
      </w:r>
    </w:p>
    <w:p>
      <w:pPr>
        <w:spacing w:after="80" w:before="80" w:line="300"/>
        <w:jc w:val="left"/>
      </w:pPr>
      <w:r>
        <w:rPr>
          <w:rFonts w:ascii="Calibri" w:cs="Calibri" w:eastAsia="Calibri" w:hAnsi="Calibri"/>
          <w:b w:val="false"/>
          <w:bCs w:val="false"/>
          <w:i w:val="false"/>
          <w:iCs w:val="false"/>
          <w:color w:val="2B2B2B"/>
          <w:sz w:val="22"/>
          <w:szCs w:val="22"/>
        </w:rPr>
        <w:t xml:space="preserve">The doctrine applies only to a builder-vendor — a contractor who builds a home and then sells it. Georgia continues to follow caveat emptor for the resale of used homes. A homeowner reselling an existing dwelling is generally not a builder-vendor and is not subject to the Holmes doctrine. This is a significant practical limitation that homeowners coming from states with broader new-home warranty schemes often misunderstand.</w:t>
      </w:r>
    </w:p>
    <w:p>
      <w:pPr>
        <w:pStyle w:val="Heading2"/>
        <w:keepNext/>
        <w:spacing w:after="120" w:before="260"/>
      </w:pPr>
      <w:r>
        <w:rPr>
          <w:rFonts w:ascii="Calibri" w:cs="Calibri" w:eastAsia="Calibri" w:hAnsi="Calibri"/>
          <w:b/>
          <w:bCs/>
          <w:color w:val="2B2B2B"/>
          <w:sz w:val="28"/>
          <w:szCs w:val="28"/>
        </w:rPr>
        <w:t xml:space="preserve">Standard of care</w:t>
      </w:r>
    </w:p>
    <w:p>
      <w:pPr>
        <w:spacing w:after="80" w:before="80" w:line="300"/>
        <w:jc w:val="left"/>
      </w:pPr>
      <w:r>
        <w:rPr>
          <w:rFonts w:ascii="Calibri" w:cs="Calibri" w:eastAsia="Calibri" w:hAnsi="Calibri"/>
          <w:b w:val="false"/>
          <w:bCs w:val="false"/>
          <w:i w:val="false"/>
          <w:iCs w:val="false"/>
          <w:color w:val="2B2B2B"/>
          <w:sz w:val="22"/>
          <w:szCs w:val="22"/>
        </w:rPr>
        <w:t xml:space="preserve">The implied duty is to construct in a fit and workmanlike manner — the reasonable care, skill, and ability ordinarily employed by other competent builders in the same profession. This is an ordinary-negligence standard, not strict liability or an absolute warranty of habitability.</w:t>
      </w:r>
    </w:p>
    <w:p>
      <w:pPr>
        <w:pStyle w:val="Heading2"/>
        <w:keepNext/>
        <w:spacing w:after="120" w:before="260"/>
      </w:pPr>
      <w:r>
        <w:rPr>
          <w:rFonts w:ascii="Calibri" w:cs="Calibri" w:eastAsia="Calibri" w:hAnsi="Calibri"/>
          <w:b/>
          <w:bCs/>
          <w:color w:val="2B2B2B"/>
          <w:sz w:val="28"/>
          <w:szCs w:val="28"/>
        </w:rPr>
        <w:t xml:space="preserve">Latent defects</w:t>
      </w:r>
    </w:p>
    <w:p>
      <w:pPr>
        <w:spacing w:after="80" w:before="80" w:line="300"/>
        <w:jc w:val="left"/>
      </w:pPr>
      <w:r>
        <w:rPr>
          <w:rFonts w:ascii="Calibri" w:cs="Calibri" w:eastAsia="Calibri" w:hAnsi="Calibri"/>
          <w:b w:val="false"/>
          <w:bCs w:val="false"/>
          <w:i w:val="false"/>
          <w:iCs w:val="false"/>
          <w:color w:val="2B2B2B"/>
          <w:sz w:val="22"/>
          <w:szCs w:val="22"/>
        </w:rPr>
        <w:t xml:space="preserve">Where defects are latent (not discoverable by reasonable inspection at closing), Georgia imposes the implied duty regardless of any merger-by-deed argument the builder might make. Patent defects — those that should have been discovered on a reasonable inspection — are generally waived by the closing and not actionable under the implied warranty theory.</w:t>
      </w:r>
    </w:p>
    <w:p>
      <w:pPr>
        <w:pStyle w:val="Heading2"/>
        <w:keepNext/>
        <w:spacing w:after="120" w:before="260"/>
      </w:pPr>
      <w:r>
        <w:rPr>
          <w:rFonts w:ascii="Calibri" w:cs="Calibri" w:eastAsia="Calibri" w:hAnsi="Calibri"/>
          <w:b/>
          <w:bCs/>
          <w:color w:val="2B2B2B"/>
          <w:sz w:val="28"/>
          <w:szCs w:val="28"/>
        </w:rPr>
        <w:t xml:space="preserve">Subsequent purchasers</w:t>
      </w:r>
    </w:p>
    <w:p>
      <w:pPr>
        <w:spacing w:after="80" w:before="80" w:line="300"/>
        <w:jc w:val="left"/>
      </w:pPr>
      <w:r>
        <w:rPr>
          <w:rFonts w:ascii="Calibri" w:cs="Calibri" w:eastAsia="Calibri" w:hAnsi="Calibri"/>
          <w:b w:val="false"/>
          <w:bCs w:val="false"/>
          <w:i w:val="false"/>
          <w:iCs w:val="false"/>
          <w:color w:val="2B2B2B"/>
          <w:sz w:val="22"/>
          <w:szCs w:val="22"/>
        </w:rPr>
        <w:t xml:space="preserve">Georgia case law recognizes that the builder's duty extends to subsequent purchasers because the latent defect affects the subsequent owner just as it affected the original buyer. However, subsequent purchasers typically must prove negligent construction rather than rely on a pure warranty theory, and the eight-year statute of repose runs from the original substantial completion — not from the date of any resale.</w:t>
      </w:r>
    </w:p>
    <w:p>
      <w:pPr>
        <w:pStyle w:val="Heading2"/>
        <w:keepNext/>
        <w:spacing w:after="120" w:before="260"/>
      </w:pPr>
      <w:r>
        <w:rPr>
          <w:rFonts w:ascii="Calibri" w:cs="Calibri" w:eastAsia="Calibri" w:hAnsi="Calibri"/>
          <w:b/>
          <w:bCs/>
          <w:color w:val="2B2B2B"/>
          <w:sz w:val="28"/>
          <w:szCs w:val="28"/>
        </w:rPr>
        <w:t xml:space="preserve">Disclaimers</w:t>
      </w:r>
    </w:p>
    <w:p>
      <w:pPr>
        <w:spacing w:after="80" w:before="80" w:line="300"/>
        <w:jc w:val="left"/>
      </w:pPr>
      <w:r>
        <w:rPr>
          <w:rFonts w:ascii="Calibri" w:cs="Calibri" w:eastAsia="Calibri" w:hAnsi="Calibri"/>
          <w:b w:val="false"/>
          <w:bCs w:val="false"/>
          <w:i/>
          <w:iCs/>
          <w:color w:val="2B2B2B"/>
          <w:sz w:val="22"/>
          <w:szCs w:val="22"/>
        </w:rPr>
        <w:t xml:space="preserve">Holloman v. D.R. Horton, Inc.</w:t>
      </w:r>
      <w:r>
        <w:rPr>
          <w:rFonts w:ascii="Calibri" w:cs="Calibri" w:eastAsia="Calibri" w:hAnsi="Calibri"/>
          <w:color w:val="2B2B2B"/>
          <w:sz w:val="22"/>
          <w:szCs w:val="22"/>
        </w:rPr>
        <w:t xml:space="preserve">, 241 Ga. App. 141, 524 S.E.2d 790 (1999), addressed a printed disclaimer purporting to exclude all implied warranties through a reference to a third-party warranty booklet (HOW). The Court of Appeals held that whether the disclaimer effectively excluded the implied warranties was a fact question, particularly where handwritten or typed contract terms appeared to conflict with the printed disclaimer. Practically, Georgia courts require disclaimers to be clear and conspicuous; ambiguities are construed against the builder, and handwritten or typed terms are construed more strongly than preprinted form language.</w:t>
      </w:r>
    </w:p>
    <w:p>
      <w:pPr>
        <w:pStyle w:val="Heading2"/>
        <w:keepNext/>
        <w:spacing w:after="120" w:before="260"/>
      </w:pPr>
      <w:r>
        <w:rPr>
          <w:rFonts w:ascii="Calibri" w:cs="Calibri" w:eastAsia="Calibri" w:hAnsi="Calibri"/>
          <w:b/>
          <w:bCs/>
          <w:color w:val="2B2B2B"/>
          <w:sz w:val="28"/>
          <w:szCs w:val="28"/>
        </w:rPr>
        <w:t xml:space="preserve">Damages</w:t>
      </w:r>
    </w:p>
    <w:p>
      <w:pPr>
        <w:spacing w:after="80" w:before="80" w:line="300"/>
        <w:jc w:val="left"/>
      </w:pPr>
      <w:r>
        <w:rPr>
          <w:rFonts w:ascii="Calibri" w:cs="Calibri" w:eastAsia="Calibri" w:hAnsi="Calibri"/>
          <w:b w:val="false"/>
          <w:bCs w:val="false"/>
          <w:i w:val="false"/>
          <w:iCs w:val="false"/>
          <w:color w:val="2B2B2B"/>
          <w:sz w:val="22"/>
          <w:szCs w:val="22"/>
        </w:rPr>
        <w:t xml:space="preserve">Cost of repair or diminution in fair market value. Georgia treats these as alternative and often interchangeable measures. Cost of repair is permissible even where it exceeds diminution in value, provided the repair is not an absurd undertaking and is reasonably proportionate to the injury. The defendant bears the burden of putting forth a competing measure. Consequential damages are recoverable where reasonably foreseeable and not validly excluded by the limited warranty.</w:t>
      </w:r>
    </w:p>
    <w:p>
      <w:pPr>
        <w:pStyle w:val="Heading1"/>
        <w:keepNext/>
        <w:pBdr>
          <w:bottom w:val="single" w:color="8C8C8C" w:sz="12" w:space="4"/>
        </w:pBdr>
        <w:spacing w:after="180" w:before="360"/>
      </w:pPr>
      <w:r>
        <w:rPr>
          <w:rFonts w:ascii="Calibri" w:cs="Calibri" w:eastAsia="Calibri" w:hAnsi="Calibri"/>
          <w:b/>
          <w:bCs/>
          <w:color w:val="2B2B2B"/>
          <w:sz w:val="36"/>
          <w:szCs w:val="36"/>
        </w:rPr>
        <w:t xml:space="preserve">3. The Right to Repair Act — O.C.G.A. §§ 8-2-35 to 8-2-43</w:t>
      </w:r>
    </w:p>
    <w:p>
      <w:pPr>
        <w:spacing w:after="80" w:before="80" w:line="300"/>
        <w:jc w:val="left"/>
      </w:pPr>
      <w:r>
        <w:rPr>
          <w:rFonts w:ascii="Calibri" w:cs="Calibri" w:eastAsia="Calibri" w:hAnsi="Calibri"/>
          <w:b w:val="false"/>
          <w:bCs w:val="false"/>
          <w:i w:val="false"/>
          <w:iCs w:val="false"/>
          <w:color w:val="2B2B2B"/>
          <w:sz w:val="22"/>
          <w:szCs w:val="22"/>
        </w:rPr>
        <w:t xml:space="preserve">Georgia's Right to Repair Act, enacted in 2004, is the mandatory pre-suit notice scheme for residential construction-defect claims. It is procedural — it does not create new causes of action or substantive warranties. Skipping the procedure typically results in a stay or dismissal without prejudice; the case is paused, not destroyed, but the limitations clock keeps running.</w:t>
      </w:r>
    </w:p>
    <w:p>
      <w:pPr>
        <w:pStyle w:val="Heading2"/>
        <w:keepNext/>
        <w:spacing w:after="120" w:before="260"/>
      </w:pPr>
      <w:r>
        <w:rPr>
          <w:rFonts w:ascii="Calibri" w:cs="Calibri" w:eastAsia="Calibri" w:hAnsi="Calibri"/>
          <w:b/>
          <w:bCs/>
          <w:color w:val="2B2B2B"/>
          <w:sz w:val="28"/>
          <w:szCs w:val="28"/>
        </w:rPr>
        <w:t xml:space="preserve">Who and what is covered</w:t>
      </w:r>
    </w:p>
    <w:p>
      <w:pPr>
        <w:pStyle w:val="ListParagraph"/>
        <w:numPr>
          <w:ilvl w:val="0"/>
          <w:numId w:val="2"/>
        </w:numPr>
        <w:spacing w:after="40" w:before="40" w:line="280"/>
      </w:pPr>
      <w:r>
        <w:rPr>
          <w:rFonts w:ascii="Calibri" w:cs="Calibri" w:eastAsia="Calibri" w:hAnsi="Calibri"/>
          <w:b/>
          <w:bCs/>
          <w:i w:val="false"/>
          <w:iCs w:val="false"/>
          <w:color w:val="2B2B2B"/>
          <w:sz w:val="22"/>
          <w:szCs w:val="22"/>
        </w:rPr>
        <w:t xml:space="preserve">Dwelling </w:t>
      </w:r>
      <w:r>
        <w:rPr>
          <w:rFonts w:ascii="Calibri" w:cs="Calibri" w:eastAsia="Calibri" w:hAnsi="Calibri"/>
          <w:color w:val="2B2B2B"/>
          <w:sz w:val="22"/>
          <w:szCs w:val="22"/>
        </w:rPr>
        <w:t xml:space="preserve">(§ 8-2-36(6)) means a single-family house, duplex, or multifamily unit designed for residential use where title to each unit transfers to the owner. The definition covers condominiums and cooperative units, plus appurtenant systems, components, and improvements.</w:t>
      </w:r>
    </w:p>
    <w:p>
      <w:pPr>
        <w:pStyle w:val="ListParagraph"/>
        <w:numPr>
          <w:ilvl w:val="0"/>
          <w:numId w:val="2"/>
        </w:numPr>
        <w:spacing w:after="40" w:before="40" w:line="280"/>
      </w:pPr>
      <w:r>
        <w:rPr>
          <w:rFonts w:ascii="Calibri" w:cs="Calibri" w:eastAsia="Calibri" w:hAnsi="Calibri"/>
          <w:b/>
          <w:bCs/>
          <w:i w:val="false"/>
          <w:iCs w:val="false"/>
          <w:color w:val="2B2B2B"/>
          <w:sz w:val="22"/>
          <w:szCs w:val="22"/>
        </w:rPr>
        <w:t xml:space="preserve">Construction defect </w:t>
      </w:r>
      <w:r>
        <w:rPr>
          <w:rFonts w:ascii="Calibri" w:cs="Calibri" w:eastAsia="Calibri" w:hAnsi="Calibri"/>
          <w:color w:val="2B2B2B"/>
          <w:sz w:val="22"/>
          <w:szCs w:val="22"/>
        </w:rPr>
        <w:t xml:space="preserve">(§ 8-2-36) takes its meaning from any written or express warranty; in the absence of a written warranty, it means a matter concerning the design, construction, or repair of a dwelling on which the homeowner has a complaint against a contractor.</w:t>
      </w:r>
    </w:p>
    <w:p>
      <w:pPr>
        <w:pStyle w:val="ListParagraph"/>
        <w:numPr>
          <w:ilvl w:val="0"/>
          <w:numId w:val="2"/>
        </w:numPr>
        <w:spacing w:after="40" w:before="40" w:line="280"/>
      </w:pPr>
      <w:r>
        <w:rPr>
          <w:rFonts w:ascii="Calibri" w:cs="Calibri" w:eastAsia="Calibri" w:hAnsi="Calibri"/>
          <w:b/>
          <w:bCs/>
          <w:i w:val="false"/>
          <w:iCs w:val="false"/>
          <w:color w:val="2B2B2B"/>
          <w:sz w:val="22"/>
          <w:szCs w:val="22"/>
        </w:rPr>
        <w:t xml:space="preserve">Claimant </w:t>
      </w:r>
      <w:r>
        <w:rPr>
          <w:rFonts w:ascii="Calibri" w:cs="Calibri" w:eastAsia="Calibri" w:hAnsi="Calibri"/>
          <w:color w:val="2B2B2B"/>
          <w:sz w:val="22"/>
          <w:szCs w:val="22"/>
        </w:rPr>
        <w:t xml:space="preserve">is the homeowner or association asserting a construction defect; </w:t>
      </w:r>
      <w:r>
        <w:rPr>
          <w:rFonts w:ascii="Calibri" w:cs="Calibri" w:eastAsia="Calibri" w:hAnsi="Calibri"/>
          <w:b/>
          <w:bCs/>
          <w:i w:val="false"/>
          <w:iCs w:val="false"/>
          <w:color w:val="2B2B2B"/>
          <w:sz w:val="22"/>
          <w:szCs w:val="22"/>
        </w:rPr>
        <w:t xml:space="preserve">contractor </w:t>
      </w:r>
      <w:r>
        <w:rPr>
          <w:rFonts w:ascii="Calibri" w:cs="Calibri" w:eastAsia="Calibri" w:hAnsi="Calibri"/>
          <w:color w:val="2B2B2B"/>
          <w:sz w:val="22"/>
          <w:szCs w:val="22"/>
        </w:rPr>
        <w:t xml:space="preserve">includes general contractors, subcontractors, suppliers, and design professionals.</w:t>
      </w:r>
    </w:p>
    <w:p>
      <w:pPr>
        <w:pStyle w:val="Heading2"/>
        <w:keepNext/>
        <w:spacing w:after="120" w:before="260"/>
      </w:pPr>
      <w:r>
        <w:rPr>
          <w:rFonts w:ascii="Calibri" w:cs="Calibri" w:eastAsia="Calibri" w:hAnsi="Calibri"/>
          <w:b/>
          <w:bCs/>
          <w:color w:val="2B2B2B"/>
          <w:sz w:val="28"/>
          <w:szCs w:val="28"/>
        </w:rPr>
        <w:t xml:space="preserve">The mandatory notice procedure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rPr>
          <w:tblHeader/>
        </w:trPr>
        <w:tc>
          <w:tcPr>
            <w:tcW w:type="dxa" w:w="3000"/>
            <w:tcBorders>
              <w:top w:val="single" w:color="BFBFBF" w:sz="4"/>
              <w:left w:val="single" w:color="BFBFBF" w:sz="4"/>
              <w:bottom w:val="single" w:color="BFBFBF" w:sz="4"/>
              <w:right w:val="single" w:color="BFBFBF" w:sz="4"/>
            </w:tcBorders>
            <w:shd w:fill="EFEFEF" w:val="clear"/>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Step</w:t>
            </w:r>
          </w:p>
        </w:tc>
        <w:tc>
          <w:tcPr>
            <w:tcW w:type="dxa" w:w="6360"/>
            <w:tcBorders>
              <w:top w:val="single" w:color="BFBFBF" w:sz="4"/>
              <w:left w:val="single" w:color="BFBFBF" w:sz="4"/>
              <w:bottom w:val="single" w:color="BFBFBF" w:sz="4"/>
              <w:right w:val="single" w:color="BFBFBF" w:sz="4"/>
            </w:tcBorders>
            <w:shd w:fill="EFEFEF" w:val="clear"/>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Detail</w:t>
            </w:r>
          </w:p>
        </w:tc>
      </w:tr>
      <w:tr>
        <w:tc>
          <w:tcPr>
            <w:tcW w:type="dxa" w:w="30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Claimant serves written notice</w:t>
            </w:r>
          </w:p>
        </w:tc>
        <w:tc>
          <w:tcPr>
            <w:tcW w:type="dxa" w:w="63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At least 90 days before filing suit, the homeowner must serve a written notice of claim on the contractor. The notice must describe each alleged defect in detail sufficient to explain the nature of the defect and the results of the defect (O.C.G.A. § 8-2-38(a)).</w:t>
            </w:r>
          </w:p>
        </w:tc>
      </w:tr>
      <w:tr>
        <w:tc>
          <w:tcPr>
            <w:tcW w:type="dxa" w:w="30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Contractor's 30-day response</w:t>
            </w:r>
          </w:p>
        </w:tc>
        <w:tc>
          <w:tcPr>
            <w:tcW w:type="dxa" w:w="63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Within 30 days of receiving the notice, the contractor must serve a written response that either (1) offers to settle by monetary payment, repair, or both without inspection, or (2) proposes to inspect the dwelling.</w:t>
            </w:r>
          </w:p>
        </w:tc>
      </w:tr>
      <w:tr>
        <w:tc>
          <w:tcPr>
            <w:tcW w:type="dxa" w:w="30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Inspection and offer</w:t>
            </w:r>
          </w:p>
        </w:tc>
        <w:tc>
          <w:tcPr>
            <w:tcW w:type="dxa" w:w="63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If the contractor inspects, the contractor must serve a written offer of repair or settlement within a reasonable time after inspection. The homeowner may accept, reject, or counter.</w:t>
            </w:r>
          </w:p>
        </w:tc>
      </w:tr>
      <w:tr>
        <w:tc>
          <w:tcPr>
            <w:tcW w:type="dxa" w:w="30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When the homeowner may sue</w:t>
            </w:r>
          </w:p>
        </w:tc>
        <w:tc>
          <w:tcPr>
            <w:tcW w:type="dxa" w:w="63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If the contractor fails to respond within 30 days, disputes the claim, or makes an unacceptable offer, the homeowner may commence the dwelling action after the 90-day notice period has elapsed.</w:t>
            </w:r>
          </w:p>
        </w:tc>
      </w:tr>
      <w:tr>
        <w:tc>
          <w:tcPr>
            <w:tcW w:type="dxa" w:w="30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Consequence of skipping</w:t>
            </w:r>
          </w:p>
        </w:tc>
        <w:tc>
          <w:tcPr>
            <w:tcW w:type="dxa" w:w="63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Practitioners report that courts will stay or dismiss without prejudice for non-compliance, allowing the homeowner to re-file after curing the notice defect. The Act is generally treated as a condition precedent, not a true jurisdictional bar — but the limitations clock does not stop running.</w:t>
            </w:r>
          </w:p>
        </w:tc>
      </w:tr>
    </w:tbl>
    <w:p>
      <w:pPr>
        <w:pStyle w:val="Heading2"/>
        <w:keepNext/>
        <w:spacing w:after="120" w:before="260"/>
      </w:pPr>
      <w:r>
        <w:rPr>
          <w:rFonts w:ascii="Calibri" w:cs="Calibri" w:eastAsia="Calibri" w:hAnsi="Calibri"/>
          <w:b/>
          <w:bCs/>
          <w:color w:val="2B2B2B"/>
          <w:sz w:val="28"/>
          <w:szCs w:val="28"/>
        </w:rPr>
        <w:t xml:space="preserve">Practical drafting note</w:t>
      </w:r>
    </w:p>
    <w:p>
      <w:pPr>
        <w:spacing w:after="80" w:before="80" w:line="300"/>
        <w:jc w:val="left"/>
      </w:pPr>
      <w:r>
        <w:rPr>
          <w:rFonts w:ascii="Calibri" w:cs="Calibri" w:eastAsia="Calibri" w:hAnsi="Calibri"/>
          <w:b w:val="false"/>
          <w:bCs w:val="false"/>
          <w:i w:val="false"/>
          <w:iCs w:val="false"/>
          <w:color w:val="2B2B2B"/>
          <w:sz w:val="22"/>
          <w:szCs w:val="22"/>
        </w:rPr>
        <w:t xml:space="preserve">Send the notice by certified mail, return receipt requested, even though the statute does not require certified mail by name. It preserves clean proof of service and the start of the 30-day contractor response window.</w:t>
      </w:r>
    </w:p>
    <w:p>
      <w:pPr>
        <w:pStyle w:val="Heading1"/>
        <w:keepNext/>
        <w:pBdr>
          <w:bottom w:val="single" w:color="8C8C8C" w:sz="12" w:space="4"/>
        </w:pBdr>
        <w:spacing w:after="180" w:before="360"/>
      </w:pPr>
      <w:r>
        <w:rPr>
          <w:rFonts w:ascii="Calibri" w:cs="Calibri" w:eastAsia="Calibri" w:hAnsi="Calibri"/>
          <w:b/>
          <w:bCs/>
          <w:color w:val="2B2B2B"/>
          <w:sz w:val="36"/>
          <w:szCs w:val="36"/>
        </w:rPr>
        <w:t xml:space="preserve">4. Statutes of Limitations and Repose</w:t>
      </w:r>
    </w:p>
    <w:p>
      <w:pPr>
        <w:spacing w:after="80" w:before="80" w:line="300"/>
        <w:jc w:val="left"/>
      </w:pPr>
      <w:r>
        <w:rPr>
          <w:rFonts w:ascii="Calibri" w:cs="Calibri" w:eastAsia="Calibri" w:hAnsi="Calibri"/>
          <w:b w:val="false"/>
          <w:bCs w:val="false"/>
          <w:i w:val="false"/>
          <w:iCs w:val="false"/>
          <w:color w:val="2B2B2B"/>
          <w:sz w:val="22"/>
          <w:szCs w:val="22"/>
        </w:rPr>
        <w:t xml:space="preserve">Georgia's limitations framework is unusual in two respects: there is no discovery rule for property-damage claims under § 9-3-30, and the eight-year statute of repose under § 9-3-51 has its own discovery-style extension in years seven and eight. Multiple clocks run in parallel; the earliest expiring clock controls.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360"/>
        <w:gridCol w:w="2000"/>
        <w:gridCol w:w="4000"/>
      </w:tblGrid>
      <w:tr>
        <w:trPr>
          <w:tblHeader/>
        </w:trPr>
        <w:tc>
          <w:tcPr>
            <w:tcW w:type="dxa" w:w="3360"/>
            <w:tcBorders>
              <w:top w:val="single" w:color="BFBFBF" w:sz="4"/>
              <w:left w:val="single" w:color="BFBFBF" w:sz="4"/>
              <w:bottom w:val="single" w:color="BFBFBF" w:sz="4"/>
              <w:right w:val="single" w:color="BFBFBF" w:sz="4"/>
            </w:tcBorders>
            <w:shd w:fill="EFEFEF" w:val="clear"/>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Theory of liability</w:t>
            </w:r>
          </w:p>
        </w:tc>
        <w:tc>
          <w:tcPr>
            <w:tcW w:type="dxa" w:w="2000"/>
            <w:tcBorders>
              <w:top w:val="single" w:color="BFBFBF" w:sz="4"/>
              <w:left w:val="single" w:color="BFBFBF" w:sz="4"/>
              <w:bottom w:val="single" w:color="BFBFBF" w:sz="4"/>
              <w:right w:val="single" w:color="BFBFBF" w:sz="4"/>
            </w:tcBorders>
            <w:shd w:fill="EFEFEF" w:val="clear"/>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Period</w:t>
            </w:r>
          </w:p>
        </w:tc>
        <w:tc>
          <w:tcPr>
            <w:tcW w:type="dxa" w:w="4000"/>
            <w:tcBorders>
              <w:top w:val="single" w:color="BFBFBF" w:sz="4"/>
              <w:left w:val="single" w:color="BFBFBF" w:sz="4"/>
              <w:bottom w:val="single" w:color="BFBFBF" w:sz="4"/>
              <w:right w:val="single" w:color="BFBFBF" w:sz="4"/>
            </w:tcBorders>
            <w:shd w:fill="EFEFEF" w:val="clear"/>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Trigger / accrual</w:t>
            </w:r>
          </w:p>
        </w:tc>
      </w:tr>
      <w:tr>
        <w:tc>
          <w:tcPr>
            <w:tcW w:type="dxa" w:w="33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Damage to realty (negligent construction)</w:t>
            </w:r>
          </w:p>
        </w:tc>
        <w:tc>
          <w:tcPr>
            <w:tcW w:type="dxa" w:w="20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4 years (§ 9-3-30)</w:t>
            </w:r>
          </w:p>
        </w:tc>
        <w:tc>
          <w:tcPr>
            <w:tcW w:type="dxa" w:w="40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Date of substantial completion. No discovery rule for property-damage construction defects (synthetic siding under § 9-3-30(b) is the only carve-out).</w:t>
            </w:r>
          </w:p>
        </w:tc>
      </w:tr>
      <w:tr>
        <w:tc>
          <w:tcPr>
            <w:tcW w:type="dxa" w:w="33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Breach of simple written contract / express written warranty</w:t>
            </w:r>
          </w:p>
        </w:tc>
        <w:tc>
          <w:tcPr>
            <w:tcW w:type="dxa" w:w="20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6 years (§ 9-3-24)</w:t>
            </w:r>
          </w:p>
        </w:tc>
        <w:tc>
          <w:tcPr>
            <w:tcW w:type="dxa" w:w="40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When the cause of action becomes due and payable.</w:t>
            </w:r>
          </w:p>
        </w:tc>
      </w:tr>
      <w:tr>
        <w:tc>
          <w:tcPr>
            <w:tcW w:type="dxa" w:w="33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Breach of contract under seal</w:t>
            </w:r>
          </w:p>
        </w:tc>
        <w:tc>
          <w:tcPr>
            <w:tcW w:type="dxa" w:w="20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20 years (§ 9-3-23)</w:t>
            </w:r>
          </w:p>
        </w:tc>
        <w:tc>
          <w:tcPr>
            <w:tcW w:type="dxa" w:w="40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When the cause of action becomes due. Rare in modern builder contracts; check for an actual seal or "under seal" language.</w:t>
            </w:r>
          </w:p>
        </w:tc>
      </w:tr>
      <w:tr>
        <w:tc>
          <w:tcPr>
            <w:tcW w:type="dxa" w:w="33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Breach of oral contract / implied contract / quantum meruit</w:t>
            </w:r>
          </w:p>
        </w:tc>
        <w:tc>
          <w:tcPr>
            <w:tcW w:type="dxa" w:w="20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4 years (§ 9-3-26)</w:t>
            </w:r>
          </w:p>
        </w:tc>
        <w:tc>
          <w:tcPr>
            <w:tcW w:type="dxa" w:w="40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Date of accrual.</w:t>
            </w:r>
          </w:p>
        </w:tc>
      </w:tr>
      <w:tr>
        <w:tc>
          <w:tcPr>
            <w:tcW w:type="dxa" w:w="33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Statute of repose — improvements to real property</w:t>
            </w:r>
          </w:p>
        </w:tc>
        <w:tc>
          <w:tcPr>
            <w:tcW w:type="dxa" w:w="20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8 years (§ 9-3-51(a))</w:t>
            </w:r>
          </w:p>
        </w:tc>
        <w:tc>
          <w:tcPr>
            <w:tcW w:type="dxa" w:w="40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Date of substantial completion. Absolute outer bar for design, planning, supervision, or construction deficiencies and resulting property damage or personal injury.</w:t>
            </w:r>
          </w:p>
        </w:tc>
      </w:tr>
      <w:tr>
        <w:tc>
          <w:tcPr>
            <w:tcW w:type="dxa" w:w="33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Repose discovery extension</w:t>
            </w:r>
          </w:p>
        </w:tc>
        <w:tc>
          <w:tcPr>
            <w:tcW w:type="dxa" w:w="20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+2 years (§ 9-3-51(b))</w:t>
            </w:r>
          </w:p>
        </w:tc>
        <w:tc>
          <w:tcPr>
            <w:tcW w:type="dxa" w:w="40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If injury or damage occurs in the 7th or 8th year, action may be commenced within 2 years of that injury — but no action may be brought more than 10 years after substantial completion.</w:t>
            </w:r>
          </w:p>
        </w:tc>
      </w:tr>
      <w:tr>
        <w:tc>
          <w:tcPr>
            <w:tcW w:type="dxa" w:w="33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Fair Business Practices Act</w:t>
            </w:r>
          </w:p>
        </w:tc>
        <w:tc>
          <w:tcPr>
            <w:tcW w:type="dxa" w:w="20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2 years (§ 10-1-401)</w:t>
            </w:r>
          </w:p>
        </w:tc>
        <w:tc>
          <w:tcPr>
            <w:tcW w:type="dxa" w:w="40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From the date the person knew or should have known of the violation.</w:t>
            </w:r>
          </w:p>
        </w:tc>
      </w:tr>
    </w:tbl>
    <w:p>
      <w:pPr>
        <w:pStyle w:val="Heading2"/>
        <w:keepNext/>
        <w:spacing w:after="120" w:before="260"/>
      </w:pPr>
      <w:r>
        <w:rPr>
          <w:rFonts w:ascii="Calibri" w:cs="Calibri" w:eastAsia="Calibri" w:hAnsi="Calibri"/>
          <w:b/>
          <w:bCs/>
          <w:color w:val="2B2B2B"/>
          <w:sz w:val="28"/>
          <w:szCs w:val="28"/>
        </w:rPr>
        <w:t xml:space="preserve">The discovery-rule trap</w:t>
      </w:r>
    </w:p>
    <w:p>
      <w:pPr>
        <w:spacing w:after="80" w:before="80" w:line="300"/>
        <w:jc w:val="left"/>
      </w:pPr>
      <w:r>
        <w:rPr>
          <w:rFonts w:ascii="Calibri" w:cs="Calibri" w:eastAsia="Calibri" w:hAnsi="Calibri"/>
          <w:b w:val="false"/>
          <w:bCs w:val="false"/>
          <w:i w:val="false"/>
          <w:iCs w:val="false"/>
          <w:color w:val="2B2B2B"/>
          <w:sz w:val="22"/>
          <w:szCs w:val="22"/>
        </w:rPr>
        <w:t xml:space="preserve">This is the most consequential trap in Georgia new-home defect work. Most states apply a discovery rule that delays accrual until the homeowner reasonably should have noticed the latent defect. Georgia does not — its discovery rule is confined to bodily-injury cases under the line of cases beginning with Sclufer v. Mortgage Bankers Mutual Fire Insurance Co. and refined through subsequent decisions. For property-damage-only construction defects under O.C.G.A. § 9-3-30, the clock starts at substantial completion. A latent defect discovered in year five is already barred under the tort theory unless the homeowner can plead within the six-year written-contract window, the § 9-3-51(b) discovery extension (only in years seven and eight), or fraudulent concealment under § 9-3-96.</w:t>
      </w:r>
    </w:p>
    <w:p>
      <w:pPr>
        <w:pStyle w:val="Heading2"/>
        <w:keepNext/>
        <w:spacing w:after="120" w:before="260"/>
      </w:pPr>
      <w:r>
        <w:rPr>
          <w:rFonts w:ascii="Calibri" w:cs="Calibri" w:eastAsia="Calibri" w:hAnsi="Calibri"/>
          <w:b/>
          <w:bCs/>
          <w:color w:val="2B2B2B"/>
          <w:sz w:val="28"/>
          <w:szCs w:val="28"/>
        </w:rPr>
        <w:t xml:space="preserve">The § 9-3-51(c) contract carve-out and fraud tolling</w:t>
      </w:r>
    </w:p>
    <w:p>
      <w:pPr>
        <w:spacing w:after="80" w:before="80" w:line="300"/>
        <w:jc w:val="left"/>
      </w:pPr>
      <w:r>
        <w:rPr>
          <w:rFonts w:ascii="Calibri" w:cs="Calibri" w:eastAsia="Calibri" w:hAnsi="Calibri"/>
          <w:b w:val="false"/>
          <w:bCs w:val="false"/>
          <w:i w:val="false"/>
          <w:iCs w:val="false"/>
          <w:color w:val="2B2B2B"/>
          <w:sz w:val="22"/>
          <w:szCs w:val="22"/>
        </w:rPr>
        <w:t xml:space="preserve">Section 9-3-51(c) carves breach-of-contract and express-warranty claims out of the eight-year repose — written builder warranties that explicitly extend beyond eight years remain enforceable for their stated term. Counsel sometimes describes this as a "fraud exception," but that is imprecise. Fraud does not extend the repose by statute; rather, fraudulent concealment by the defendant can equitably estop a builder from asserting the repose defense under Georgia's general doctrine of equitable estoppel. Counsel investigating an older defect should always probe whether the builder knew of the condition at the time of sale or closing — fraudulent concealment may keep the claim alive even after the eight-year period has run.</w:t>
      </w:r>
    </w:p>
    <w:p>
      <w:pPr>
        <w:pStyle w:val="Heading1"/>
        <w:keepNext/>
        <w:pBdr>
          <w:bottom w:val="single" w:color="8C8C8C" w:sz="12" w:space="4"/>
        </w:pBdr>
        <w:spacing w:after="180" w:before="360"/>
      </w:pPr>
      <w:r>
        <w:rPr>
          <w:rFonts w:ascii="Calibri" w:cs="Calibri" w:eastAsia="Calibri" w:hAnsi="Calibri"/>
          <w:b/>
          <w:bCs/>
          <w:color w:val="2B2B2B"/>
          <w:sz w:val="36"/>
          <w:szCs w:val="36"/>
        </w:rPr>
        <w:t xml:space="preserve">5. State Licensing Board for Residential and General Contractors</w:t>
      </w:r>
    </w:p>
    <w:p>
      <w:pPr>
        <w:pStyle w:val="Heading2"/>
        <w:keepNext/>
        <w:spacing w:after="120" w:before="260"/>
      </w:pPr>
      <w:r>
        <w:rPr>
          <w:rFonts w:ascii="Calibri" w:cs="Calibri" w:eastAsia="Calibri" w:hAnsi="Calibri"/>
          <w:b/>
          <w:bCs/>
          <w:color w:val="2B2B2B"/>
          <w:sz w:val="28"/>
          <w:szCs w:val="28"/>
        </w:rPr>
        <w:t xml:space="preserve">Licensing thresholds</w:t>
      </w:r>
    </w:p>
    <w:p>
      <w:pPr>
        <w:pStyle w:val="ListParagraph"/>
        <w:numPr>
          <w:ilvl w:val="0"/>
          <w:numId w:val="2"/>
        </w:numPr>
        <w:spacing w:after="40" w:before="40" w:line="280"/>
      </w:pPr>
      <w:r>
        <w:rPr>
          <w:rFonts w:ascii="Calibri" w:cs="Calibri" w:eastAsia="Calibri" w:hAnsi="Calibri"/>
          <w:b/>
          <w:bCs/>
          <w:i w:val="false"/>
          <w:iCs w:val="false"/>
          <w:color w:val="2B2B2B"/>
          <w:sz w:val="22"/>
          <w:szCs w:val="22"/>
        </w:rPr>
        <w:t xml:space="preserve">Residential contractor license </w:t>
      </w:r>
      <w:r>
        <w:rPr>
          <w:rFonts w:ascii="Calibri" w:cs="Calibri" w:eastAsia="Calibri" w:hAnsi="Calibri"/>
          <w:color w:val="2B2B2B"/>
          <w:sz w:val="22"/>
          <w:szCs w:val="22"/>
        </w:rPr>
        <w:t xml:space="preserve">required where the cost of the residential project equals or exceeds $2,500 (O.C.G.A. § 43-41-17).</w:t>
      </w:r>
    </w:p>
    <w:p>
      <w:pPr>
        <w:pStyle w:val="ListParagraph"/>
        <w:numPr>
          <w:ilvl w:val="0"/>
          <w:numId w:val="2"/>
        </w:numPr>
        <w:spacing w:after="40" w:before="40" w:line="280"/>
      </w:pPr>
      <w:r>
        <w:rPr>
          <w:rFonts w:ascii="Calibri" w:cs="Calibri" w:eastAsia="Calibri" w:hAnsi="Calibri"/>
          <w:b/>
          <w:bCs/>
          <w:i w:val="false"/>
          <w:iCs w:val="false"/>
          <w:color w:val="2B2B2B"/>
          <w:sz w:val="22"/>
          <w:szCs w:val="22"/>
        </w:rPr>
        <w:t xml:space="preserve">General contractor license </w:t>
      </w:r>
      <w:r>
        <w:rPr>
          <w:rFonts w:ascii="Calibri" w:cs="Calibri" w:eastAsia="Calibri" w:hAnsi="Calibri"/>
          <w:color w:val="2B2B2B"/>
          <w:sz w:val="22"/>
          <w:szCs w:val="22"/>
        </w:rPr>
        <w:t xml:space="preserve">required where the cost of a commercial project equals or exceeds $100,000.</w:t>
      </w:r>
    </w:p>
    <w:p>
      <w:pPr>
        <w:pStyle w:val="ListParagraph"/>
        <w:numPr>
          <w:ilvl w:val="0"/>
          <w:numId w:val="2"/>
        </w:numPr>
        <w:spacing w:after="40" w:before="40" w:line="280"/>
      </w:pPr>
      <w:r>
        <w:rPr>
          <w:rFonts w:ascii="Calibri" w:cs="Calibri" w:eastAsia="Calibri" w:hAnsi="Calibri"/>
          <w:b/>
          <w:bCs/>
          <w:i w:val="false"/>
          <w:iCs w:val="false"/>
          <w:color w:val="2B2B2B"/>
          <w:sz w:val="22"/>
          <w:szCs w:val="22"/>
        </w:rPr>
        <w:t xml:space="preserve">Unlicensed contractor contracts are unenforceable. </w:t>
      </w:r>
      <w:r>
        <w:rPr>
          <w:rFonts w:ascii="Calibri" w:cs="Calibri" w:eastAsia="Calibri" w:hAnsi="Calibri"/>
          <w:color w:val="2B2B2B"/>
          <w:sz w:val="22"/>
          <w:szCs w:val="22"/>
        </w:rPr>
        <w:t xml:space="preserve">Section 43-41-17(b) provides that contracts entered into with an unlicensed contractor (where licensure is required) are unenforceable by the contractor at law or in equity. The homeowner may still sue the unlicensed contractor for defective work; the contractor cannot collect on the contract.</w:t>
      </w:r>
    </w:p>
    <w:p>
      <w:pPr>
        <w:pStyle w:val="Heading2"/>
        <w:keepNext/>
        <w:spacing w:after="120" w:before="260"/>
      </w:pPr>
      <w:r>
        <w:rPr>
          <w:rFonts w:ascii="Calibri" w:cs="Calibri" w:eastAsia="Calibri" w:hAnsi="Calibri"/>
          <w:b/>
          <w:bCs/>
          <w:color w:val="2B2B2B"/>
          <w:sz w:val="28"/>
          <w:szCs w:val="28"/>
        </w:rPr>
        <w:t xml:space="preserve">Complaint procedure</w:t>
      </w:r>
    </w:p>
    <w:p>
      <w:pPr>
        <w:pStyle w:val="ListParagraph"/>
        <w:numPr>
          <w:ilvl w:val="0"/>
          <w:numId w:val="2"/>
        </w:numPr>
        <w:spacing w:after="40" w:before="40" w:line="280"/>
      </w:pPr>
      <w:r>
        <w:rPr>
          <w:rFonts w:ascii="Calibri" w:cs="Calibri" w:eastAsia="Calibri" w:hAnsi="Calibri"/>
          <w:color w:val="2B2B2B"/>
          <w:sz w:val="22"/>
          <w:szCs w:val="22"/>
        </w:rPr>
        <w:t xml:space="preserve">File a complaint with the SLBRGC through the Georgia Secretary of State's Professional Licensing Boards Division.</w:t>
      </w:r>
    </w:p>
    <w:p>
      <w:pPr>
        <w:pStyle w:val="ListParagraph"/>
        <w:numPr>
          <w:ilvl w:val="0"/>
          <w:numId w:val="2"/>
        </w:numPr>
        <w:spacing w:after="40" w:before="40" w:line="280"/>
      </w:pPr>
      <w:r>
        <w:rPr>
          <w:rFonts w:ascii="Calibri" w:cs="Calibri" w:eastAsia="Calibri" w:hAnsi="Calibri"/>
          <w:color w:val="2B2B2B"/>
          <w:sz w:val="22"/>
          <w:szCs w:val="22"/>
        </w:rPr>
        <w:t xml:space="preserve">Outcomes are administrative — reprimand, civil penalty, license suspension, or license revocation. The Board cannot order monetary damages or compel specific repairs.</w:t>
      </w:r>
    </w:p>
    <w:p>
      <w:pPr>
        <w:pStyle w:val="ListParagraph"/>
        <w:numPr>
          <w:ilvl w:val="0"/>
          <w:numId w:val="2"/>
        </w:numPr>
        <w:spacing w:after="40" w:before="40" w:line="280"/>
      </w:pPr>
      <w:r>
        <w:rPr>
          <w:rFonts w:ascii="Calibri" w:cs="Calibri" w:eastAsia="Calibri" w:hAnsi="Calibri"/>
          <w:color w:val="2B2B2B"/>
          <w:sz w:val="22"/>
          <w:szCs w:val="22"/>
        </w:rPr>
        <w:t xml:space="preserve">There is no statutory time limit specifically tied to the Board complaint, but practitioners recommend filing as soon as facts support it to preserve evidence and create a regulatory record.</w:t>
      </w:r>
    </w:p>
    <w:p>
      <w:pPr>
        <w:pStyle w:val="Heading2"/>
        <w:keepNext/>
        <w:spacing w:after="120" w:before="260"/>
      </w:pPr>
      <w:r>
        <w:rPr>
          <w:rFonts w:ascii="Calibri" w:cs="Calibri" w:eastAsia="Calibri" w:hAnsi="Calibri"/>
          <w:b/>
          <w:bCs/>
          <w:color w:val="2B2B2B"/>
          <w:sz w:val="28"/>
          <w:szCs w:val="28"/>
        </w:rPr>
        <w:t xml:space="preserve">No state contractor recovery fund</w:t>
      </w:r>
    </w:p>
    <w:p>
      <w:pPr>
        <w:spacing w:after="80" w:before="80" w:line="300"/>
        <w:jc w:val="left"/>
      </w:pPr>
      <w:r>
        <w:rPr>
          <w:rFonts w:ascii="Calibri" w:cs="Calibri" w:eastAsia="Calibri" w:hAnsi="Calibri"/>
          <w:b w:val="false"/>
          <w:bCs w:val="false"/>
          <w:i w:val="false"/>
          <w:iCs w:val="false"/>
          <w:color w:val="2B2B2B"/>
          <w:sz w:val="22"/>
          <w:szCs w:val="22"/>
        </w:rPr>
        <w:t xml:space="preserve">Unlike Florida's Construction Recovery Fund or Alabama's HBLB Recovery Fund, Georgia does not maintain a state-administered fund to pay unsatisfied judgments against licensed contractors. The civil lawsuit is the only practical path to monetary recovery — the homeowner must obtain a judgment and collect from the contractor directly. This is the single most common surprise for homeowners coming from neighboring states with recovery funds.</w:t>
      </w:r>
    </w:p>
    <w:p>
      <w:pPr>
        <w:pStyle w:val="Heading1"/>
        <w:keepNext/>
        <w:pBdr>
          <w:bottom w:val="single" w:color="8C8C8C" w:sz="12" w:space="4"/>
        </w:pBdr>
        <w:spacing w:after="180" w:before="360"/>
      </w:pPr>
      <w:r>
        <w:rPr>
          <w:rFonts w:ascii="Calibri" w:cs="Calibri" w:eastAsia="Calibri" w:hAnsi="Calibri"/>
          <w:b/>
          <w:bCs/>
          <w:color w:val="2B2B2B"/>
          <w:sz w:val="36"/>
          <w:szCs w:val="36"/>
        </w:rPr>
        <w:t xml:space="preserve">6. Fair Business Practices Act — O.C.G.A. § 10-1-390 et seq.</w:t>
      </w:r>
    </w:p>
    <w:p>
      <w:pPr>
        <w:pStyle w:val="Heading2"/>
        <w:keepNext/>
        <w:spacing w:after="120" w:before="260"/>
      </w:pPr>
      <w:r>
        <w:rPr>
          <w:rFonts w:ascii="Calibri" w:cs="Calibri" w:eastAsia="Calibri" w:hAnsi="Calibri"/>
          <w:b/>
          <w:bCs/>
          <w:color w:val="2B2B2B"/>
          <w:sz w:val="28"/>
          <w:szCs w:val="28"/>
        </w:rPr>
        <w:t xml:space="preserve">Application to new-home sales</w:t>
      </w:r>
    </w:p>
    <w:p>
      <w:pPr>
        <w:spacing w:after="80" w:before="80" w:line="300"/>
        <w:jc w:val="left"/>
      </w:pPr>
      <w:r>
        <w:rPr>
          <w:rFonts w:ascii="Calibri" w:cs="Calibri" w:eastAsia="Calibri" w:hAnsi="Calibri"/>
          <w:b w:val="false"/>
          <w:bCs w:val="false"/>
          <w:i/>
          <w:iCs/>
          <w:color w:val="2B2B2B"/>
          <w:sz w:val="22"/>
          <w:szCs w:val="22"/>
        </w:rPr>
        <w:t xml:space="preserve">Tiismann v. Linda Martin Homes Corp.</w:t>
      </w:r>
      <w:r>
        <w:rPr>
          <w:rFonts w:ascii="Calibri" w:cs="Calibri" w:eastAsia="Calibri" w:hAnsi="Calibri"/>
          <w:color w:val="2B2B2B"/>
          <w:sz w:val="22"/>
          <w:szCs w:val="22"/>
        </w:rPr>
        <w:t xml:space="preserve">, 281 Ga. 137, 637 S.E.2d 14 (2006), confirms that the Fair Business Practices Act applies to new home construction transactions where the facts involve deceptive practices. The Georgia Supreme Court reversed the Court of Appeals' dismissal of a buyer's FBPA claim, holding the cause of action does not accrue until the plaintiff actually suffers damages. The FBPA is therefore available against builders who engage in misrepresentation, deceptive advertising, or unfair practices in connection with the construction or sale of a new home — provided the deception is severable from the pure real-estate transaction.</w:t>
      </w:r>
    </w:p>
    <w:p>
      <w:pPr>
        <w:pStyle w:val="Heading2"/>
        <w:keepNext/>
        <w:spacing w:after="120" w:before="260"/>
      </w:pPr>
      <w:r>
        <w:rPr>
          <w:rFonts w:ascii="Calibri" w:cs="Calibri" w:eastAsia="Calibri" w:hAnsi="Calibri"/>
          <w:b/>
          <w:bCs/>
          <w:color w:val="2B2B2B"/>
          <w:sz w:val="28"/>
          <w:szCs w:val="28"/>
        </w:rPr>
        <w:t xml:space="preserve">Pre-suit notice — § 10-1-399(b)</w:t>
      </w:r>
    </w:p>
    <w:p>
      <w:pPr>
        <w:spacing w:after="80" w:before="80" w:line="300"/>
        <w:jc w:val="left"/>
      </w:pPr>
      <w:r>
        <w:rPr>
          <w:rFonts w:ascii="Calibri" w:cs="Calibri" w:eastAsia="Calibri" w:hAnsi="Calibri"/>
          <w:b w:val="false"/>
          <w:bCs w:val="false"/>
          <w:i w:val="false"/>
          <w:iCs w:val="false"/>
          <w:color w:val="2B2B2B"/>
          <w:sz w:val="22"/>
          <w:szCs w:val="22"/>
        </w:rPr>
        <w:t xml:space="preserve">At least 30 days before filing an FBPA action, the claimant must send a written demand for relief identifying the claimant, reasonably describing the unfair or deceptive act, and the injury suffered. The defendant has 30 days to make a written settlement offer. Rejection of a reasonable offer can cap the homeowner's attorney's fees recovery.</w:t>
      </w:r>
    </w:p>
    <w:p>
      <w:pPr>
        <w:pStyle w:val="Heading2"/>
        <w:keepNext/>
        <w:spacing w:after="120" w:before="260"/>
      </w:pPr>
      <w:r>
        <w:rPr>
          <w:rFonts w:ascii="Calibri" w:cs="Calibri" w:eastAsia="Calibri" w:hAnsi="Calibri"/>
          <w:b/>
          <w:bCs/>
          <w:color w:val="2B2B2B"/>
          <w:sz w:val="28"/>
          <w:szCs w:val="28"/>
        </w:rPr>
        <w:t xml:space="preserve">Damages</w:t>
      </w:r>
    </w:p>
    <w:p>
      <w:pPr>
        <w:pStyle w:val="ListParagraph"/>
        <w:numPr>
          <w:ilvl w:val="0"/>
          <w:numId w:val="2"/>
        </w:numPr>
        <w:spacing w:after="40" w:before="40" w:line="280"/>
      </w:pPr>
      <w:r>
        <w:rPr>
          <w:rFonts w:ascii="Calibri" w:cs="Calibri" w:eastAsia="Calibri" w:hAnsi="Calibri"/>
          <w:color w:val="2B2B2B"/>
          <w:sz w:val="22"/>
          <w:szCs w:val="22"/>
        </w:rPr>
        <w:t xml:space="preserve">Actual damages.</w:t>
      </w:r>
    </w:p>
    <w:p>
      <w:pPr>
        <w:pStyle w:val="ListParagraph"/>
        <w:numPr>
          <w:ilvl w:val="0"/>
          <w:numId w:val="2"/>
        </w:numPr>
        <w:spacing w:after="40" w:before="40" w:line="280"/>
      </w:pPr>
      <w:r>
        <w:rPr>
          <w:rFonts w:ascii="Calibri" w:cs="Calibri" w:eastAsia="Calibri" w:hAnsi="Calibri"/>
          <w:color w:val="2B2B2B"/>
          <w:sz w:val="22"/>
          <w:szCs w:val="22"/>
        </w:rPr>
        <w:t xml:space="preserve">Treble damages for intentional violations.</w:t>
      </w:r>
    </w:p>
    <w:p>
      <w:pPr>
        <w:pStyle w:val="ListParagraph"/>
        <w:numPr>
          <w:ilvl w:val="0"/>
          <w:numId w:val="2"/>
        </w:numPr>
        <w:spacing w:after="40" w:before="40" w:line="280"/>
      </w:pPr>
      <w:r>
        <w:rPr>
          <w:rFonts w:ascii="Calibri" w:cs="Calibri" w:eastAsia="Calibri" w:hAnsi="Calibri"/>
          <w:color w:val="2B2B2B"/>
          <w:sz w:val="22"/>
          <w:szCs w:val="22"/>
        </w:rPr>
        <w:t xml:space="preserve">Mandatory reasonable attorney's fees and litigation expenses upon a finding of violation.</w:t>
      </w:r>
    </w:p>
    <w:p>
      <w:pPr>
        <w:pStyle w:val="Heading2"/>
        <w:keepNext/>
        <w:spacing w:after="120" w:before="260"/>
      </w:pPr>
      <w:r>
        <w:rPr>
          <w:rFonts w:ascii="Calibri" w:cs="Calibri" w:eastAsia="Calibri" w:hAnsi="Calibri"/>
          <w:b/>
          <w:bCs/>
          <w:color w:val="2B2B2B"/>
          <w:sz w:val="28"/>
          <w:szCs w:val="28"/>
        </w:rPr>
        <w:t xml:space="preserve">Limitations</w:t>
      </w:r>
    </w:p>
    <w:p>
      <w:pPr>
        <w:spacing w:after="80" w:before="80" w:line="300"/>
        <w:jc w:val="left"/>
      </w:pPr>
      <w:r>
        <w:rPr>
          <w:rFonts w:ascii="Calibri" w:cs="Calibri" w:eastAsia="Calibri" w:hAnsi="Calibri"/>
          <w:b w:val="false"/>
          <w:bCs w:val="false"/>
          <w:i w:val="false"/>
          <w:iCs w:val="false"/>
          <w:color w:val="2B2B2B"/>
          <w:sz w:val="22"/>
          <w:szCs w:val="22"/>
        </w:rPr>
        <w:t xml:space="preserve">Section 10-1-401 imposes a two-year limitations period running from the date the person knew or should have known of the violation, or two years after the termination of any related state proceeding, whichever is later.</w:t>
      </w:r>
    </w:p>
    <w:p>
      <w:pPr>
        <w:pStyle w:val="Heading1"/>
        <w:keepNext/>
        <w:pBdr>
          <w:bottom w:val="single" w:color="8C8C8C" w:sz="12" w:space="4"/>
        </w:pBdr>
        <w:spacing w:after="180" w:before="360"/>
      </w:pPr>
      <w:r>
        <w:rPr>
          <w:rFonts w:ascii="Calibri" w:cs="Calibri" w:eastAsia="Calibri" w:hAnsi="Calibri"/>
          <w:b/>
          <w:bCs/>
          <w:color w:val="2B2B2B"/>
          <w:sz w:val="36"/>
          <w:szCs w:val="36"/>
        </w:rPr>
        <w:t xml:space="preserve">7. Damages and Attorney's Fees</w:t>
      </w:r>
    </w:p>
    <w:p>
      <w:pPr>
        <w:pStyle w:val="Heading2"/>
        <w:keepNext/>
        <w:spacing w:after="120" w:before="260"/>
      </w:pPr>
      <w:r>
        <w:rPr>
          <w:rFonts w:ascii="Calibri" w:cs="Calibri" w:eastAsia="Calibri" w:hAnsi="Calibri"/>
          <w:b/>
          <w:bCs/>
          <w:color w:val="2B2B2B"/>
          <w:sz w:val="28"/>
          <w:szCs w:val="28"/>
        </w:rPr>
        <w:t xml:space="preserve">Measure of damages</w:t>
      </w:r>
    </w:p>
    <w:p>
      <w:pPr>
        <w:spacing w:after="80" w:before="80" w:line="300"/>
        <w:jc w:val="left"/>
      </w:pPr>
      <w:r>
        <w:rPr>
          <w:rFonts w:ascii="Calibri" w:cs="Calibri" w:eastAsia="Calibri" w:hAnsi="Calibri"/>
          <w:b w:val="false"/>
          <w:bCs w:val="false"/>
          <w:i w:val="false"/>
          <w:iCs w:val="false"/>
          <w:color w:val="2B2B2B"/>
          <w:sz w:val="22"/>
          <w:szCs w:val="22"/>
        </w:rPr>
        <w:t xml:space="preserve">Cost of repair and diminution in fair market value are alternative measures; Georgia treats them as interchangeable. Cost of repair is permissible even where it exceeds diminution, provided the repair is not an absurd undertaking and is reasonably proportionate to the injury. Consequential damages are recoverable where reasonably foreseeable and not validly excluded by the limited warranty.</w:t>
      </w:r>
    </w:p>
    <w:p>
      <w:pPr>
        <w:pStyle w:val="Heading2"/>
        <w:keepNext/>
        <w:spacing w:after="120" w:before="260"/>
      </w:pPr>
      <w:r>
        <w:rPr>
          <w:rFonts w:ascii="Calibri" w:cs="Calibri" w:eastAsia="Calibri" w:hAnsi="Calibri"/>
          <w:b/>
          <w:bCs/>
          <w:color w:val="2B2B2B"/>
          <w:sz w:val="28"/>
          <w:szCs w:val="28"/>
        </w:rPr>
        <w:t xml:space="preserve">Attorney's fees</w:t>
      </w:r>
    </w:p>
    <w:p>
      <w:pPr>
        <w:pStyle w:val="ListParagraph"/>
        <w:numPr>
          <w:ilvl w:val="0"/>
          <w:numId w:val="2"/>
        </w:numPr>
        <w:spacing w:after="40" w:before="40" w:line="280"/>
      </w:pPr>
      <w:r>
        <w:rPr>
          <w:rFonts w:ascii="Calibri" w:cs="Calibri" w:eastAsia="Calibri" w:hAnsi="Calibri"/>
          <w:b/>
          <w:bCs/>
          <w:i w:val="false"/>
          <w:iCs w:val="false"/>
          <w:color w:val="2B2B2B"/>
          <w:sz w:val="22"/>
          <w:szCs w:val="22"/>
        </w:rPr>
        <w:t xml:space="preserve">O.C.G.A. § 13-6-11 </w:t>
      </w:r>
      <w:r>
        <w:rPr>
          <w:rFonts w:ascii="Calibri" w:cs="Calibri" w:eastAsia="Calibri" w:hAnsi="Calibri"/>
          <w:color w:val="2B2B2B"/>
          <w:sz w:val="22"/>
          <w:szCs w:val="22"/>
        </w:rPr>
        <w:t xml:space="preserve">— attorney's fees and litigation expenses where the defendant has acted in bad faith in the underlying transaction, has been stubbornly litigious, or has caused unnecessary trouble and expense. "Bad faith" requires more than negligence — a dishonest purpose or moral obliquity. Must be specifically pleaded.</w:t>
      </w:r>
    </w:p>
    <w:p>
      <w:pPr>
        <w:pStyle w:val="ListParagraph"/>
        <w:numPr>
          <w:ilvl w:val="0"/>
          <w:numId w:val="2"/>
        </w:numPr>
        <w:spacing w:after="40" w:before="40" w:line="280"/>
      </w:pPr>
      <w:r>
        <w:rPr>
          <w:rFonts w:ascii="Calibri" w:cs="Calibri" w:eastAsia="Calibri" w:hAnsi="Calibri"/>
          <w:b/>
          <w:bCs/>
          <w:i w:val="false"/>
          <w:iCs w:val="false"/>
          <w:color w:val="2B2B2B"/>
          <w:sz w:val="22"/>
          <w:szCs w:val="22"/>
        </w:rPr>
        <w:t xml:space="preserve">FBPA § 10-1-399 </w:t>
      </w:r>
      <w:r>
        <w:rPr>
          <w:rFonts w:ascii="Calibri" w:cs="Calibri" w:eastAsia="Calibri" w:hAnsi="Calibri"/>
          <w:color w:val="2B2B2B"/>
          <w:sz w:val="22"/>
          <w:szCs w:val="22"/>
        </w:rPr>
        <w:t xml:space="preserve">— mandatory attorney's fees upon a finding of violation.</w:t>
      </w:r>
    </w:p>
    <w:p>
      <w:pPr>
        <w:pStyle w:val="ListParagraph"/>
        <w:numPr>
          <w:ilvl w:val="0"/>
          <w:numId w:val="2"/>
        </w:numPr>
        <w:spacing w:after="40" w:before="40" w:line="280"/>
      </w:pPr>
      <w:r>
        <w:rPr>
          <w:rFonts w:ascii="Calibri" w:cs="Calibri" w:eastAsia="Calibri" w:hAnsi="Calibri"/>
          <w:b/>
          <w:bCs/>
          <w:i w:val="false"/>
          <w:iCs w:val="false"/>
          <w:color w:val="2B2B2B"/>
          <w:sz w:val="22"/>
          <w:szCs w:val="22"/>
        </w:rPr>
        <w:t xml:space="preserve">Contract fee-shifting clauses </w:t>
      </w:r>
      <w:r>
        <w:rPr>
          <w:rFonts w:ascii="Calibri" w:cs="Calibri" w:eastAsia="Calibri" w:hAnsi="Calibri"/>
          <w:color w:val="2B2B2B"/>
          <w:sz w:val="22"/>
          <w:szCs w:val="22"/>
        </w:rPr>
        <w:t xml:space="preserve">— enforceable. Most builder contracts include a prevailing-party clause that works for either side.</w:t>
      </w:r>
    </w:p>
    <w:p>
      <w:pPr>
        <w:pStyle w:val="Heading2"/>
        <w:keepNext/>
        <w:spacing w:after="120" w:before="260"/>
      </w:pPr>
      <w:r>
        <w:rPr>
          <w:rFonts w:ascii="Calibri" w:cs="Calibri" w:eastAsia="Calibri" w:hAnsi="Calibri"/>
          <w:b/>
          <w:bCs/>
          <w:color w:val="2B2B2B"/>
          <w:sz w:val="28"/>
          <w:szCs w:val="28"/>
        </w:rPr>
        <w:t xml:space="preserve">Punitive damages — § 51-12-5.1</w:t>
      </w:r>
    </w:p>
    <w:p>
      <w:pPr>
        <w:spacing w:after="80" w:before="80" w:line="300"/>
        <w:jc w:val="left"/>
      </w:pPr>
      <w:r>
        <w:rPr>
          <w:rFonts w:ascii="Calibri" w:cs="Calibri" w:eastAsia="Calibri" w:hAnsi="Calibri"/>
          <w:b w:val="false"/>
          <w:bCs w:val="false"/>
          <w:i w:val="false"/>
          <w:iCs w:val="false"/>
          <w:color w:val="2B2B2B"/>
          <w:sz w:val="22"/>
          <w:szCs w:val="22"/>
        </w:rPr>
        <w:t xml:space="preserve">General cap of $250,000. No cap where the defendant had a specific intent to cause harm; no cap for impairment by alcohol or drugs; no cap for product liability claims (but seventy-five percent of any product-liability award above $250,000 is remitted to the State Treasury). Punitive damages require clear and convincing evidence of willful misconduct, malice, fraud, wantonness, oppression, or that entire want of care which would raise the presumption of conscious indifference to consequences.</w:t>
      </w:r>
    </w:p>
    <w:p>
      <w:pPr>
        <w:pStyle w:val="Heading1"/>
        <w:keepNext/>
        <w:pBdr>
          <w:bottom w:val="single" w:color="8C8C8C" w:sz="12" w:space="4"/>
        </w:pBdr>
        <w:spacing w:after="180" w:before="360"/>
      </w:pPr>
      <w:r>
        <w:rPr>
          <w:rFonts w:ascii="Calibri" w:cs="Calibri" w:eastAsia="Calibri" w:hAnsi="Calibri"/>
          <w:b/>
          <w:bCs/>
          <w:color w:val="2B2B2B"/>
          <w:sz w:val="36"/>
          <w:szCs w:val="36"/>
        </w:rPr>
        <w:t xml:space="preserve">8. Complaint Channels</w:t>
      </w:r>
    </w:p>
    <w:p>
      <w:pPr>
        <w:pStyle w:val="Heading2"/>
        <w:keepNext/>
        <w:spacing w:after="120" w:before="260"/>
      </w:pPr>
      <w:r>
        <w:rPr>
          <w:rFonts w:ascii="Calibri" w:cs="Calibri" w:eastAsia="Calibri" w:hAnsi="Calibri"/>
          <w:b/>
          <w:bCs/>
          <w:color w:val="2B2B2B"/>
          <w:sz w:val="28"/>
          <w:szCs w:val="28"/>
        </w:rPr>
        <w:t xml:space="preserve">State Licensing Board for Residential and General Contractors</w:t>
      </w:r>
    </w:p>
    <w:p>
      <w:pPr>
        <w:pStyle w:val="ListParagraph"/>
        <w:numPr>
          <w:ilvl w:val="0"/>
          <w:numId w:val="2"/>
        </w:numPr>
        <w:spacing w:after="40" w:before="40" w:line="280"/>
      </w:pPr>
      <w:r>
        <w:rPr>
          <w:rFonts w:ascii="Calibri" w:cs="Calibri" w:eastAsia="Calibri" w:hAnsi="Calibri"/>
          <w:b/>
          <w:bCs/>
          <w:i w:val="false"/>
          <w:iCs w:val="false"/>
          <w:color w:val="2B2B2B"/>
          <w:sz w:val="22"/>
          <w:szCs w:val="22"/>
        </w:rPr>
        <w:t xml:space="preserve">License lookup and complaint filing: </w:t>
      </w:r>
      <w:hyperlink w:history="1" r:id="rIdoce0zyb4uccsn7y5flajc">
        <w:r>
          <w:rPr>
            <w:rFonts w:ascii="Calibri" w:cs="Calibri" w:eastAsia="Calibri" w:hAnsi="Calibri"/>
            <w:color w:val="1F3A68"/>
            <w:sz w:val="22"/>
            <w:szCs w:val="22"/>
            <w:u w:val="single"/>
          </w:rPr>
          <w:t xml:space="preserve">sos.ga.gov SLBRGC</w:t>
        </w:r>
      </w:hyperlink>
      <w:r>
        <w:rPr>
          <w:rFonts w:ascii="Calibri" w:cs="Calibri" w:eastAsia="Calibri" w:hAnsi="Calibri"/>
          <w:color w:val="2B2B2B"/>
          <w:sz w:val="22"/>
          <w:szCs w:val="22"/>
        </w:rPr>
        <w:t xml:space="preserve">.</w:t>
      </w:r>
    </w:p>
    <w:p>
      <w:pPr>
        <w:pStyle w:val="ListParagraph"/>
        <w:numPr>
          <w:ilvl w:val="0"/>
          <w:numId w:val="2"/>
        </w:numPr>
        <w:spacing w:after="40" w:before="40" w:line="280"/>
      </w:pPr>
      <w:r>
        <w:rPr>
          <w:rFonts w:ascii="Calibri" w:cs="Calibri" w:eastAsia="Calibri" w:hAnsi="Calibri"/>
          <w:color w:val="2B2B2B"/>
          <w:sz w:val="22"/>
          <w:szCs w:val="22"/>
        </w:rPr>
        <w:t xml:space="preserve">Administrative discipline only — reprimand, civil penalty, suspension, or revocation. Does not order damages or compel repairs.</w:t>
      </w:r>
    </w:p>
    <w:p>
      <w:pPr>
        <w:pStyle w:val="Heading2"/>
        <w:keepNext/>
        <w:spacing w:after="120" w:before="260"/>
      </w:pPr>
      <w:r>
        <w:rPr>
          <w:rFonts w:ascii="Calibri" w:cs="Calibri" w:eastAsia="Calibri" w:hAnsi="Calibri"/>
          <w:b/>
          <w:bCs/>
          <w:color w:val="2B2B2B"/>
          <w:sz w:val="28"/>
          <w:szCs w:val="28"/>
        </w:rPr>
        <w:t xml:space="preserve">Georgia Department of Law — Consumer Protection Division</w:t>
      </w:r>
    </w:p>
    <w:p>
      <w:pPr>
        <w:spacing w:after="80" w:before="80" w:line="300"/>
        <w:jc w:val="left"/>
      </w:pPr>
      <w:r>
        <w:rPr>
          <w:rFonts w:ascii="Calibri" w:cs="Calibri" w:eastAsia="Calibri" w:hAnsi="Calibri"/>
          <w:b w:val="false"/>
          <w:bCs w:val="false"/>
          <w:i w:val="false"/>
          <w:iCs w:val="false"/>
          <w:color w:val="2B2B2B"/>
          <w:sz w:val="22"/>
          <w:szCs w:val="22"/>
        </w:rPr>
        <w:t xml:space="preserve">The Consumer Protection Division enforces the Fair Business Practices Act and handles consumer complaints, including against builders for deceptive practices. The Division does not litigate individual disputes but tracks patterns and may pursue enforcement actions.</w:t>
      </w:r>
    </w:p>
    <w:p>
      <w:pPr>
        <w:pStyle w:val="ListParagraph"/>
        <w:numPr>
          <w:ilvl w:val="0"/>
          <w:numId w:val="2"/>
        </w:numPr>
        <w:spacing w:after="40" w:before="40" w:line="280"/>
      </w:pPr>
      <w:r>
        <w:rPr>
          <w:rFonts w:ascii="Calibri" w:cs="Calibri" w:eastAsia="Calibri" w:hAnsi="Calibri"/>
          <w:b/>
          <w:bCs/>
          <w:i w:val="false"/>
          <w:iCs w:val="false"/>
          <w:color w:val="2B2B2B"/>
          <w:sz w:val="22"/>
          <w:szCs w:val="22"/>
        </w:rPr>
        <w:t xml:space="preserve">Online complaint and consumer information: </w:t>
      </w:r>
      <w:hyperlink w:history="1" r:id="rIdndsrlvmqbopm5v23tgagt">
        <w:r>
          <w:rPr>
            <w:rFonts w:ascii="Calibri" w:cs="Calibri" w:eastAsia="Calibri" w:hAnsi="Calibri"/>
            <w:color w:val="1F3A68"/>
            <w:sz w:val="22"/>
            <w:szCs w:val="22"/>
            <w:u w:val="single"/>
          </w:rPr>
          <w:t xml:space="preserve">consumer.georgia.gov</w:t>
        </w:r>
      </w:hyperlink>
      <w:r>
        <w:rPr>
          <w:rFonts w:ascii="Calibri" w:cs="Calibri" w:eastAsia="Calibri" w:hAnsi="Calibri"/>
          <w:color w:val="2B2B2B"/>
          <w:sz w:val="22"/>
          <w:szCs w:val="22"/>
        </w:rPr>
        <w:t xml:space="preserve">.</w:t>
      </w:r>
    </w:p>
    <w:p>
      <w:pPr>
        <w:pStyle w:val="ListParagraph"/>
        <w:numPr>
          <w:ilvl w:val="0"/>
          <w:numId w:val="2"/>
        </w:numPr>
        <w:spacing w:after="40" w:before="40" w:line="280"/>
      </w:pPr>
      <w:r>
        <w:rPr>
          <w:rFonts w:ascii="Calibri" w:cs="Calibri" w:eastAsia="Calibri" w:hAnsi="Calibri"/>
          <w:b/>
          <w:bCs/>
          <w:i w:val="false"/>
          <w:iCs w:val="false"/>
          <w:color w:val="2B2B2B"/>
          <w:sz w:val="22"/>
          <w:szCs w:val="22"/>
        </w:rPr>
        <w:t xml:space="preserve">Right to Repair Act explainer: </w:t>
      </w:r>
      <w:hyperlink w:history="1" r:id="rIdjdttmlpwbhlb-zdntli7e">
        <w:r>
          <w:rPr>
            <w:rFonts w:ascii="Calibri" w:cs="Calibri" w:eastAsia="Calibri" w:hAnsi="Calibri"/>
            <w:color w:val="1F3A68"/>
            <w:sz w:val="22"/>
            <w:szCs w:val="22"/>
            <w:u w:val="single"/>
          </w:rPr>
          <w:t xml:space="preserve">consumer.georgia.gov — Right to Repair Act</w:t>
        </w:r>
      </w:hyperlink>
      <w:r>
        <w:rPr>
          <w:rFonts w:ascii="Calibri" w:cs="Calibri" w:eastAsia="Calibri" w:hAnsi="Calibri"/>
          <w:color w:val="2B2B2B"/>
          <w:sz w:val="22"/>
          <w:szCs w:val="22"/>
        </w:rPr>
        <w:t xml:space="preserve">.</w:t>
      </w:r>
    </w:p>
    <w:p>
      <w:pPr>
        <w:pStyle w:val="Heading2"/>
        <w:keepNext/>
        <w:spacing w:after="120" w:before="260"/>
      </w:pPr>
      <w:r>
        <w:rPr>
          <w:rFonts w:ascii="Calibri" w:cs="Calibri" w:eastAsia="Calibri" w:hAnsi="Calibri"/>
          <w:b/>
          <w:bCs/>
          <w:color w:val="2B2B2B"/>
          <w:sz w:val="28"/>
          <w:szCs w:val="28"/>
        </w:rPr>
        <w:t xml:space="preserve">Local building code enforcement</w:t>
      </w:r>
    </w:p>
    <w:p>
      <w:pPr>
        <w:spacing w:after="80" w:before="80" w:line="300"/>
        <w:jc w:val="left"/>
      </w:pPr>
      <w:r>
        <w:rPr>
          <w:rFonts w:ascii="Calibri" w:cs="Calibri" w:eastAsia="Calibri" w:hAnsi="Calibri"/>
          <w:b w:val="false"/>
          <w:bCs w:val="false"/>
          <w:i w:val="false"/>
          <w:iCs w:val="false"/>
          <w:color w:val="2B2B2B"/>
          <w:sz w:val="22"/>
          <w:szCs w:val="22"/>
        </w:rPr>
        <w:t xml:space="preserve">Permits and inspections are administered at the local (city or county) level under the Georgia State Minimum Standard Codes (International Residential Code with Georgia amendments). The 2024 and 2026 IRC adoptions took effect at staggered dates statewide. Code-violation complaints to the local building department can trigger re-inspection, stop-work orders, or certificate-of-occupancy revocation.</w:t>
      </w:r>
    </w:p>
    <w:p>
      <w:pPr>
        <w:pStyle w:val="Heading2"/>
        <w:keepNext/>
        <w:spacing w:after="120" w:before="260"/>
      </w:pPr>
      <w:r>
        <w:rPr>
          <w:rFonts w:ascii="Calibri" w:cs="Calibri" w:eastAsia="Calibri" w:hAnsi="Calibri"/>
          <w:b/>
          <w:bCs/>
          <w:color w:val="2B2B2B"/>
          <w:sz w:val="28"/>
          <w:szCs w:val="28"/>
        </w:rPr>
        <w:t xml:space="preserve">Industry associations</w:t>
      </w:r>
    </w:p>
    <w:p>
      <w:pPr>
        <w:pStyle w:val="ListParagraph"/>
        <w:numPr>
          <w:ilvl w:val="0"/>
          <w:numId w:val="2"/>
        </w:numPr>
        <w:spacing w:after="40" w:before="40" w:line="280"/>
      </w:pPr>
      <w:r>
        <w:rPr>
          <w:rFonts w:ascii="Calibri" w:cs="Calibri" w:eastAsia="Calibri" w:hAnsi="Calibri"/>
          <w:b/>
          <w:bCs/>
          <w:i w:val="false"/>
          <w:iCs w:val="false"/>
          <w:color w:val="2B2B2B"/>
          <w:sz w:val="22"/>
          <w:szCs w:val="22"/>
        </w:rPr>
        <w:t xml:space="preserve">Greater Atlanta Home Builders Association: </w:t>
      </w:r>
      <w:hyperlink w:history="1" r:id="rIdw6n4wxat_dk3cz2ycscgz">
        <w:r>
          <w:rPr>
            <w:rFonts w:ascii="Calibri" w:cs="Calibri" w:eastAsia="Calibri" w:hAnsi="Calibri"/>
            <w:color w:val="1F3A68"/>
            <w:sz w:val="22"/>
            <w:szCs w:val="22"/>
            <w:u w:val="single"/>
          </w:rPr>
          <w:t xml:space="preserve">atlantahomebuilders.com</w:t>
        </w:r>
      </w:hyperlink>
      <w:r>
        <w:rPr>
          <w:rFonts w:ascii="Calibri" w:cs="Calibri" w:eastAsia="Calibri" w:hAnsi="Calibri"/>
          <w:color w:val="2B2B2B"/>
          <w:sz w:val="22"/>
          <w:szCs w:val="22"/>
        </w:rPr>
        <w:t xml:space="preserve">. Local chapters statewide. Generally do not run binding dispute-resolution programs but may provide informal mediation referrals.</w:t>
      </w:r>
    </w:p>
    <w:p>
      <w:pPr>
        <w:pStyle w:val="ListParagraph"/>
        <w:numPr>
          <w:ilvl w:val="0"/>
          <w:numId w:val="2"/>
        </w:numPr>
        <w:spacing w:after="40" w:before="40" w:line="280"/>
      </w:pPr>
      <w:r>
        <w:rPr>
          <w:rFonts w:ascii="Calibri" w:cs="Calibri" w:eastAsia="Calibri" w:hAnsi="Calibri"/>
          <w:b/>
          <w:bCs/>
          <w:i w:val="false"/>
          <w:iCs w:val="false"/>
          <w:color w:val="2B2B2B"/>
          <w:sz w:val="22"/>
          <w:szCs w:val="22"/>
        </w:rPr>
        <w:t xml:space="preserve">Better Business Bureau: </w:t>
      </w:r>
      <w:hyperlink w:history="1" r:id="rId-rkpigqf4y1d5s2fhrtg1">
        <w:r>
          <w:rPr>
            <w:rFonts w:ascii="Calibri" w:cs="Calibri" w:eastAsia="Calibri" w:hAnsi="Calibri"/>
            <w:color w:val="1F3A68"/>
            <w:sz w:val="22"/>
            <w:szCs w:val="22"/>
            <w:u w:val="single"/>
          </w:rPr>
          <w:t xml:space="preserve">bbb.org</w:t>
        </w:r>
      </w:hyperlink>
      <w:r>
        <w:rPr>
          <w:rFonts w:ascii="Calibri" w:cs="Calibri" w:eastAsia="Calibri" w:hAnsi="Calibri"/>
          <w:color w:val="2B2B2B"/>
          <w:sz w:val="22"/>
          <w:szCs w:val="22"/>
        </w:rPr>
        <w:t xml:space="preserve">. Non-binding complaint and mediation services.</w:t>
      </w:r>
    </w:p>
    <w:p>
      <w:pPr>
        <w:pStyle w:val="Heading1"/>
        <w:keepNext/>
        <w:pBdr>
          <w:bottom w:val="single" w:color="8C8C8C" w:sz="12" w:space="4"/>
        </w:pBdr>
        <w:spacing w:after="180" w:before="360"/>
      </w:pPr>
      <w:r>
        <w:rPr>
          <w:rFonts w:ascii="Calibri" w:cs="Calibri" w:eastAsia="Calibri" w:hAnsi="Calibri"/>
          <w:b/>
          <w:bCs/>
          <w:color w:val="2B2B2B"/>
          <w:sz w:val="36"/>
          <w:szCs w:val="36"/>
        </w:rPr>
        <w:t xml:space="preserve">9. Court Jurisdiction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2400"/>
        <w:gridCol w:w="2000"/>
        <w:gridCol w:w="2560"/>
      </w:tblGrid>
      <w:tr>
        <w:trPr>
          <w:tblHeader/>
        </w:trPr>
        <w:tc>
          <w:tcPr>
            <w:tcW w:type="dxa" w:w="2400"/>
            <w:tcBorders>
              <w:top w:val="single" w:color="BFBFBF" w:sz="4"/>
              <w:left w:val="single" w:color="BFBFBF" w:sz="4"/>
              <w:bottom w:val="single" w:color="BFBFBF" w:sz="4"/>
              <w:right w:val="single" w:color="BFBFBF" w:sz="4"/>
            </w:tcBorders>
            <w:shd w:fill="EFEFEF" w:val="clear"/>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Court</w:t>
            </w:r>
          </w:p>
        </w:tc>
        <w:tc>
          <w:tcPr>
            <w:tcW w:type="dxa" w:w="2400"/>
            <w:tcBorders>
              <w:top w:val="single" w:color="BFBFBF" w:sz="4"/>
              <w:left w:val="single" w:color="BFBFBF" w:sz="4"/>
              <w:bottom w:val="single" w:color="BFBFBF" w:sz="4"/>
              <w:right w:val="single" w:color="BFBFBF" w:sz="4"/>
            </w:tcBorders>
            <w:shd w:fill="EFEFEF" w:val="clear"/>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Dollar limit</w:t>
            </w:r>
          </w:p>
        </w:tc>
        <w:tc>
          <w:tcPr>
            <w:tcW w:type="dxa" w:w="2000"/>
            <w:tcBorders>
              <w:top w:val="single" w:color="BFBFBF" w:sz="4"/>
              <w:left w:val="single" w:color="BFBFBF" w:sz="4"/>
              <w:bottom w:val="single" w:color="BFBFBF" w:sz="4"/>
              <w:right w:val="single" w:color="BFBFBF" w:sz="4"/>
            </w:tcBorders>
            <w:shd w:fill="EFEFEF" w:val="clear"/>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Statute</w:t>
            </w:r>
          </w:p>
        </w:tc>
        <w:tc>
          <w:tcPr>
            <w:tcW w:type="dxa" w:w="2560"/>
            <w:tcBorders>
              <w:top w:val="single" w:color="BFBFBF" w:sz="4"/>
              <w:left w:val="single" w:color="BFBFBF" w:sz="4"/>
              <w:bottom w:val="single" w:color="BFBFBF" w:sz="4"/>
              <w:right w:val="single" w:color="BFBFBF" w:sz="4"/>
            </w:tcBorders>
            <w:shd w:fill="EFEFEF" w:val="clear"/>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Notes</w:t>
            </w:r>
          </w:p>
        </w:tc>
      </w:tr>
      <w:tr>
        <w:tc>
          <w:tcPr>
            <w:tcW w:type="dxa" w:w="24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Magistrate Court (small claims)</w:t>
            </w:r>
          </w:p>
        </w:tc>
        <w:tc>
          <w:tcPr>
            <w:tcW w:type="dxa" w:w="24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$15,000</w:t>
            </w:r>
          </w:p>
        </w:tc>
        <w:tc>
          <w:tcPr>
            <w:tcW w:type="dxa" w:w="20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15-10-2</w:t>
            </w:r>
          </w:p>
        </w:tc>
        <w:tc>
          <w:tcPr>
            <w:tcW w:type="dxa" w:w="25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Simplified procedure. Counterclaims also capped at $15,000. Court costs are excluded from the cap.</w:t>
            </w:r>
          </w:p>
        </w:tc>
      </w:tr>
      <w:tr>
        <w:tc>
          <w:tcPr>
            <w:tcW w:type="dxa" w:w="24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State Court (in counties that have one)</w:t>
            </w:r>
          </w:p>
        </w:tc>
        <w:tc>
          <w:tcPr>
            <w:tcW w:type="dxa" w:w="24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No monetary cap</w:t>
            </w:r>
          </w:p>
        </w:tc>
        <w:tc>
          <w:tcPr>
            <w:tcW w:type="dxa" w:w="20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15-7-4</w:t>
            </w:r>
          </w:p>
        </w:tc>
        <w:tc>
          <w:tcPr>
            <w:tcW w:type="dxa" w:w="25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Civil actions without regard to amount in controversy, except cases of exclusive Superior Court jurisdiction.</w:t>
            </w:r>
          </w:p>
        </w:tc>
      </w:tr>
      <w:tr>
        <w:tc>
          <w:tcPr>
            <w:tcW w:type="dxa" w:w="24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Superior Court</w:t>
            </w:r>
          </w:p>
        </w:tc>
        <w:tc>
          <w:tcPr>
            <w:tcW w:type="dxa" w:w="24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No monetary cap</w:t>
            </w:r>
          </w:p>
        </w:tc>
        <w:tc>
          <w:tcPr>
            <w:tcW w:type="dxa" w:w="20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15-6-8</w:t>
            </w:r>
          </w:p>
        </w:tc>
        <w:tc>
          <w:tcPr>
            <w:tcW w:type="dxa" w:w="25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General jurisdiction including exclusive jurisdiction over title to land and equity. Most meaningful defect cases proceed here or in State Court.</w:t>
            </w:r>
          </w:p>
        </w:tc>
      </w:tr>
    </w:tbl>
    <w:p>
      <w:pPr>
        <w:spacing w:after="80" w:before="120" w:line="300"/>
        <w:jc w:val="left"/>
      </w:pPr>
      <w:r>
        <w:rPr>
          <w:rFonts w:ascii="Calibri" w:cs="Calibri" w:eastAsia="Calibri" w:hAnsi="Calibri"/>
          <w:b w:val="false"/>
          <w:bCs w:val="false"/>
          <w:i w:val="false"/>
          <w:iCs w:val="false"/>
          <w:color w:val="2B2B2B"/>
          <w:sz w:val="22"/>
          <w:szCs w:val="22"/>
        </w:rPr>
        <w:t xml:space="preserve">Venue is generally the county where the defendant resides or, for actions involving title to land, the county where the property sits.</w:t>
      </w:r>
    </w:p>
    <w:p>
      <w:pPr>
        <w:pStyle w:val="Heading1"/>
        <w:keepNext/>
        <w:pBdr>
          <w:bottom w:val="single" w:color="8C8C8C" w:sz="12" w:space="4"/>
        </w:pBdr>
        <w:spacing w:after="180" w:before="360"/>
      </w:pPr>
      <w:r>
        <w:rPr>
          <w:rFonts w:ascii="Calibri" w:cs="Calibri" w:eastAsia="Calibri" w:hAnsi="Calibri"/>
          <w:b/>
          <w:bCs/>
          <w:color w:val="2B2B2B"/>
          <w:sz w:val="36"/>
          <w:szCs w:val="36"/>
        </w:rPr>
        <w:t xml:space="preserve">10. Pre-Suit Procedure and Demand Letter</w:t>
      </w:r>
    </w:p>
    <w:p>
      <w:pPr>
        <w:pStyle w:val="Heading2"/>
        <w:keepNext/>
        <w:spacing w:after="120" w:before="260"/>
      </w:pPr>
      <w:r>
        <w:rPr>
          <w:rFonts w:ascii="Calibri" w:cs="Calibri" w:eastAsia="Calibri" w:hAnsi="Calibri"/>
          <w:b/>
          <w:bCs/>
          <w:color w:val="2B2B2B"/>
          <w:sz w:val="28"/>
          <w:szCs w:val="28"/>
        </w:rPr>
        <w:t xml:space="preserve">Recommended demand letter contents</w:t>
      </w:r>
    </w:p>
    <w:p>
      <w:pPr>
        <w:pStyle w:val="ListParagraph"/>
        <w:numPr>
          <w:ilvl w:val="0"/>
          <w:numId w:val="2"/>
        </w:numPr>
        <w:spacing w:after="40" w:before="40" w:line="280"/>
      </w:pPr>
      <w:r>
        <w:rPr>
          <w:rFonts w:ascii="Calibri" w:cs="Calibri" w:eastAsia="Calibri" w:hAnsi="Calibri"/>
          <w:color w:val="2B2B2B"/>
          <w:sz w:val="22"/>
          <w:szCs w:val="22"/>
        </w:rPr>
        <w:t xml:space="preserve">Identification of the homeowner and the property.</w:t>
      </w:r>
    </w:p>
    <w:p>
      <w:pPr>
        <w:pStyle w:val="ListParagraph"/>
        <w:numPr>
          <w:ilvl w:val="0"/>
          <w:numId w:val="2"/>
        </w:numPr>
        <w:spacing w:after="40" w:before="40" w:line="280"/>
      </w:pPr>
      <w:r>
        <w:rPr>
          <w:rFonts w:ascii="Calibri" w:cs="Calibri" w:eastAsia="Calibri" w:hAnsi="Calibri"/>
          <w:color w:val="2B2B2B"/>
          <w:sz w:val="22"/>
          <w:szCs w:val="22"/>
        </w:rPr>
        <w:t xml:space="preserve">Date of substantial completion (critical because the § 9-3-30 four-year clock runs from this date — not from discovery).</w:t>
      </w:r>
    </w:p>
    <w:p>
      <w:pPr>
        <w:pStyle w:val="ListParagraph"/>
        <w:numPr>
          <w:ilvl w:val="0"/>
          <w:numId w:val="2"/>
        </w:numPr>
        <w:spacing w:after="40" w:before="40" w:line="280"/>
      </w:pPr>
      <w:r>
        <w:rPr>
          <w:rFonts w:ascii="Calibri" w:cs="Calibri" w:eastAsia="Calibri" w:hAnsi="Calibri"/>
          <w:color w:val="2B2B2B"/>
          <w:sz w:val="22"/>
          <w:szCs w:val="22"/>
        </w:rPr>
        <w:t xml:space="preserve">Date the homeowner first noticed each defect.</w:t>
      </w:r>
    </w:p>
    <w:p>
      <w:pPr>
        <w:pStyle w:val="ListParagraph"/>
        <w:numPr>
          <w:ilvl w:val="0"/>
          <w:numId w:val="2"/>
        </w:numPr>
        <w:spacing w:after="40" w:before="40" w:line="280"/>
      </w:pPr>
      <w:r>
        <w:rPr>
          <w:rFonts w:ascii="Calibri" w:cs="Calibri" w:eastAsia="Calibri" w:hAnsi="Calibri"/>
          <w:color w:val="2B2B2B"/>
          <w:sz w:val="22"/>
          <w:szCs w:val="22"/>
        </w:rPr>
        <w:t xml:space="preserve">Identification of the contractor by name and SLBRGC license number, plus any known subcontractors.</w:t>
      </w:r>
    </w:p>
    <w:p>
      <w:pPr>
        <w:pStyle w:val="ListParagraph"/>
        <w:numPr>
          <w:ilvl w:val="0"/>
          <w:numId w:val="2"/>
        </w:numPr>
        <w:spacing w:after="40" w:before="40" w:line="280"/>
      </w:pPr>
      <w:r>
        <w:rPr>
          <w:rFonts w:ascii="Calibri" w:cs="Calibri" w:eastAsia="Calibri" w:hAnsi="Calibri"/>
          <w:color w:val="2B2B2B"/>
          <w:sz w:val="22"/>
          <w:szCs w:val="22"/>
        </w:rPr>
        <w:t xml:space="preserve">Reasonably detailed description of each defect, with location, nature, and observed symptoms — in detail sufficient to explain the nature of the defect and its results.</w:t>
      </w:r>
    </w:p>
    <w:p>
      <w:pPr>
        <w:pStyle w:val="ListParagraph"/>
        <w:numPr>
          <w:ilvl w:val="0"/>
          <w:numId w:val="2"/>
        </w:numPr>
        <w:spacing w:after="40" w:before="40" w:line="280"/>
      </w:pPr>
      <w:r>
        <w:rPr>
          <w:rFonts w:ascii="Calibri" w:cs="Calibri" w:eastAsia="Calibri" w:hAnsi="Calibri"/>
          <w:color w:val="2B2B2B"/>
          <w:sz w:val="22"/>
          <w:szCs w:val="22"/>
        </w:rPr>
        <w:t xml:space="preserve">For each defect, the legal theory being asserted (implied warranty under Holmes v. Worthey, breach of written contract under § 9-3-24, negligence, FBPA, breach of express limited warranty).</w:t>
      </w:r>
    </w:p>
    <w:p>
      <w:pPr>
        <w:pStyle w:val="ListParagraph"/>
        <w:numPr>
          <w:ilvl w:val="0"/>
          <w:numId w:val="2"/>
        </w:numPr>
        <w:spacing w:after="40" w:before="40" w:line="280"/>
      </w:pPr>
      <w:r>
        <w:rPr>
          <w:rFonts w:ascii="Calibri" w:cs="Calibri" w:eastAsia="Calibri" w:hAnsi="Calibri"/>
          <w:color w:val="2B2B2B"/>
          <w:sz w:val="22"/>
          <w:szCs w:val="22"/>
        </w:rPr>
        <w:t xml:space="preserve">Any third-party inspection report (general home inspection, structural engineer, master-trade specialist).</w:t>
      </w:r>
    </w:p>
    <w:p>
      <w:pPr>
        <w:pStyle w:val="ListParagraph"/>
        <w:numPr>
          <w:ilvl w:val="0"/>
          <w:numId w:val="2"/>
        </w:numPr>
        <w:spacing w:after="40" w:before="40" w:line="280"/>
      </w:pPr>
      <w:r>
        <w:rPr>
          <w:rFonts w:ascii="Calibri" w:cs="Calibri" w:eastAsia="Calibri" w:hAnsi="Calibri"/>
          <w:color w:val="2B2B2B"/>
          <w:sz w:val="22"/>
          <w:szCs w:val="22"/>
        </w:rPr>
        <w:t xml:space="preserve">Express invocation of O.C.G.A. § 8-2-38 and the 90-day Right to Repair notice period. State the contractor's 30-day window to respond with an offer to inspect, settle, or dispute.</w:t>
      </w:r>
    </w:p>
    <w:p>
      <w:pPr>
        <w:pStyle w:val="ListParagraph"/>
        <w:numPr>
          <w:ilvl w:val="0"/>
          <w:numId w:val="2"/>
        </w:numPr>
        <w:spacing w:after="40" w:before="40" w:line="280"/>
      </w:pPr>
      <w:r>
        <w:rPr>
          <w:rFonts w:ascii="Calibri" w:cs="Calibri" w:eastAsia="Calibri" w:hAnsi="Calibri"/>
          <w:color w:val="2B2B2B"/>
          <w:sz w:val="22"/>
          <w:szCs w:val="22"/>
        </w:rPr>
        <w:t xml:space="preserve">If the homeowner will also assert an FBPA claim, a separate § 10-1-399(b) 30-day demand can be combined with the Right to Repair notice but should be separately captioned to preserve both procedures.</w:t>
      </w:r>
    </w:p>
    <w:p>
      <w:pPr>
        <w:pStyle w:val="ListParagraph"/>
        <w:numPr>
          <w:ilvl w:val="0"/>
          <w:numId w:val="2"/>
        </w:numPr>
        <w:spacing w:after="40" w:before="40" w:line="280"/>
      </w:pPr>
      <w:r>
        <w:rPr>
          <w:rFonts w:ascii="Calibri" w:cs="Calibri" w:eastAsia="Calibri" w:hAnsi="Calibri"/>
          <w:color w:val="2B2B2B"/>
          <w:sz w:val="22"/>
          <w:szCs w:val="22"/>
        </w:rPr>
        <w:t xml:space="preserve">A proposed inspection access protocol and reasonable dates.</w:t>
      </w:r>
    </w:p>
    <w:p>
      <w:pPr>
        <w:pStyle w:val="ListParagraph"/>
        <w:numPr>
          <w:ilvl w:val="0"/>
          <w:numId w:val="2"/>
        </w:numPr>
        <w:spacing w:after="40" w:before="40" w:line="280"/>
      </w:pPr>
      <w:r>
        <w:rPr>
          <w:rFonts w:ascii="Calibri" w:cs="Calibri" w:eastAsia="Calibri" w:hAnsi="Calibri"/>
          <w:color w:val="2B2B2B"/>
          <w:sz w:val="22"/>
          <w:szCs w:val="22"/>
        </w:rPr>
        <w:t xml:space="preserve">Statement of the remedy sought (repair, settlement by monetary payment or repair, independent repair at contractor's cost) and a dollar figure where known.</w:t>
      </w:r>
    </w:p>
    <w:p>
      <w:pPr>
        <w:pStyle w:val="ListParagraph"/>
        <w:numPr>
          <w:ilvl w:val="0"/>
          <w:numId w:val="2"/>
        </w:numPr>
        <w:spacing w:after="40" w:before="40" w:line="280"/>
      </w:pPr>
      <w:r>
        <w:rPr>
          <w:rFonts w:ascii="Calibri" w:cs="Calibri" w:eastAsia="Calibri" w:hAnsi="Calibri"/>
          <w:color w:val="2B2B2B"/>
          <w:sz w:val="22"/>
          <w:szCs w:val="22"/>
        </w:rPr>
        <w:t xml:space="preserve">Reservation of all rights, including under the limited warranty, FBPA, and any contractual fee-shifting provision.</w:t>
      </w:r>
    </w:p>
    <w:p>
      <w:pPr>
        <w:pStyle w:val="ListParagraph"/>
        <w:numPr>
          <w:ilvl w:val="0"/>
          <w:numId w:val="2"/>
        </w:numPr>
        <w:spacing w:after="40" w:before="40" w:line="280"/>
      </w:pPr>
      <w:r>
        <w:rPr>
          <w:rFonts w:ascii="Calibri" w:cs="Calibri" w:eastAsia="Calibri" w:hAnsi="Calibri"/>
          <w:color w:val="2B2B2B"/>
          <w:sz w:val="22"/>
          <w:szCs w:val="22"/>
        </w:rPr>
        <w:t xml:space="preserve">Signature and certified-mail tracking number.</w:t>
      </w:r>
    </w:p>
    <w:p>
      <w:pPr>
        <w:pStyle w:val="ListParagraph"/>
        <w:numPr>
          <w:ilvl w:val="0"/>
          <w:numId w:val="2"/>
        </w:numPr>
        <w:spacing w:after="40" w:before="40" w:line="280"/>
      </w:pPr>
      <w:r>
        <w:rPr>
          <w:rFonts w:ascii="Calibri" w:cs="Calibri" w:eastAsia="Calibri" w:hAnsi="Calibri"/>
          <w:color w:val="2B2B2B"/>
          <w:sz w:val="22"/>
          <w:szCs w:val="22"/>
        </w:rPr>
        <w:t xml:space="preserve">Attached evidence appendix — photo log, defect schedule, communications log, inspection report.</w:t>
      </w:r>
    </w:p>
    <w:p>
      <w:pPr>
        <w:pStyle w:val="Heading1"/>
        <w:keepNext/>
        <w:pBdr>
          <w:bottom w:val="single" w:color="8C8C8C" w:sz="12" w:space="4"/>
        </w:pBdr>
        <w:spacing w:after="180" w:before="360"/>
      </w:pPr>
      <w:r>
        <w:rPr>
          <w:rFonts w:ascii="Calibri" w:cs="Calibri" w:eastAsia="Calibri" w:hAnsi="Calibri"/>
          <w:b/>
          <w:bCs/>
          <w:color w:val="2B2B2B"/>
          <w:sz w:val="36"/>
          <w:szCs w:val="36"/>
        </w:rPr>
        <w:t xml:space="preserve">11. Recommended Sequencing</w:t>
      </w:r>
    </w:p>
    <w:p>
      <w:pPr>
        <w:spacing w:after="80" w:before="80" w:line="300"/>
        <w:jc w:val="left"/>
      </w:pPr>
      <w:r>
        <w:rPr>
          <w:rFonts w:ascii="Calibri" w:cs="Calibri" w:eastAsia="Calibri" w:hAnsi="Calibri"/>
          <w:b w:val="false"/>
          <w:bCs w:val="false"/>
          <w:i w:val="false"/>
          <w:iCs w:val="false"/>
          <w:color w:val="2B2B2B"/>
          <w:sz w:val="22"/>
          <w:szCs w:val="22"/>
        </w:rPr>
        <w:t xml:space="preserve">This is a general sequencing template, not a fixed timeline. Specific deadlines depend on the date of substantial completion, the date the homeowner first noticed each defect, and the terms of any limited warranty.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7860"/>
      </w:tblGrid>
      <w:tr>
        <w:trPr>
          <w:tblHeader/>
        </w:trPr>
        <w:tc>
          <w:tcPr>
            <w:tcW w:type="dxa" w:w="1500"/>
            <w:tcBorders>
              <w:top w:val="single" w:color="BFBFBF" w:sz="4"/>
              <w:left w:val="single" w:color="BFBFBF" w:sz="4"/>
              <w:bottom w:val="single" w:color="BFBFBF" w:sz="4"/>
              <w:right w:val="single" w:color="BFBFBF" w:sz="4"/>
            </w:tcBorders>
            <w:shd w:fill="EFEFEF" w:val="clear"/>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Day</w:t>
            </w:r>
          </w:p>
        </w:tc>
        <w:tc>
          <w:tcPr>
            <w:tcW w:type="dxa" w:w="7860"/>
            <w:tcBorders>
              <w:top w:val="single" w:color="BFBFBF" w:sz="4"/>
              <w:left w:val="single" w:color="BFBFBF" w:sz="4"/>
              <w:bottom w:val="single" w:color="BFBFBF" w:sz="4"/>
              <w:right w:val="single" w:color="BFBFBF" w:sz="4"/>
            </w:tcBorders>
            <w:shd w:fill="EFEFEF" w:val="clear"/>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Action</w:t>
            </w:r>
          </w:p>
        </w:tc>
      </w:tr>
      <w:tr>
        <w:tc>
          <w:tcPr>
            <w:tcW w:type="dxa" w:w="15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Day 0</w:t>
            </w:r>
          </w:p>
        </w:tc>
        <w:tc>
          <w:tcPr>
            <w:tcW w:type="dxa" w:w="78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Homeowner first notices defect. Photograph and date-stamp. Save voicemails, texts, emails. Pull the closing package, the limited warranty, the builder contract, and any communications with the builder. Request the certificate of occupancy and inspection records from the local building department to confirm the substantial-completion date.</w:t>
            </w:r>
          </w:p>
        </w:tc>
      </w:tr>
      <w:tr>
        <w:tc>
          <w:tcPr>
            <w:tcW w:type="dxa" w:w="15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Day 0–7</w:t>
            </w:r>
          </w:p>
        </w:tc>
        <w:tc>
          <w:tcPr>
            <w:tcW w:type="dxa" w:w="78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Third-party inspection — licensed home inspector, structural engineer, or master-trade specialist. Preserve original report, photographs, moisture-meter readings, and chain of custody. Do not undertake destructive testing before the builder has been given an opportunity to inspect under § 8-2-38.</w:t>
            </w:r>
          </w:p>
        </w:tc>
      </w:tr>
      <w:tr>
        <w:tc>
          <w:tcPr>
            <w:tcW w:type="dxa" w:w="15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Day 7–14</w:t>
            </w:r>
          </w:p>
        </w:tc>
        <w:tc>
          <w:tcPr>
            <w:tcW w:type="dxa" w:w="78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Engage Georgia counsel. Provide intake form, photo log, communications log, and inspection report. Counsel will confirm the substantial-completion date and the remaining time on each limitations clock.</w:t>
            </w:r>
          </w:p>
        </w:tc>
      </w:tr>
      <w:tr>
        <w:tc>
          <w:tcPr>
            <w:tcW w:type="dxa" w:w="15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Day 14</w:t>
            </w:r>
          </w:p>
        </w:tc>
        <w:tc>
          <w:tcPr>
            <w:tcW w:type="dxa" w:w="78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Serve the § 8-2-38 90-day Right to Repair notice on the contractor (and any subcontractors or design professionals) by certified mail, return receipt requested. If an FBPA claim is being pursued, send the § 10-1-399(b) 30-day demand at the same time in a separate letter.</w:t>
            </w:r>
          </w:p>
        </w:tc>
      </w:tr>
      <w:tr>
        <w:tc>
          <w:tcPr>
            <w:tcW w:type="dxa" w:w="15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Day 14–44</w:t>
            </w:r>
          </w:p>
        </w:tc>
        <w:tc>
          <w:tcPr>
            <w:tcW w:type="dxa" w:w="78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Contractor's 30-day response window runs under § 8-2-38. The contractor must offer to settle (with or without inspection) or dispute the claim in writing.</w:t>
            </w:r>
          </w:p>
        </w:tc>
      </w:tr>
      <w:tr>
        <w:tc>
          <w:tcPr>
            <w:tcW w:type="dxa" w:w="15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Day 44–104</w:t>
            </w:r>
          </w:p>
        </w:tc>
        <w:tc>
          <w:tcPr>
            <w:tcW w:type="dxa" w:w="78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Inspection and offer/counter-offer process under § 8-2-38. Homeowner may accept, reject, or counter any offer.</w:t>
            </w:r>
          </w:p>
        </w:tc>
      </w:tr>
      <w:tr>
        <w:tc>
          <w:tcPr>
            <w:tcW w:type="dxa" w:w="15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Day 90+</w:t>
            </w:r>
          </w:p>
        </w:tc>
        <w:tc>
          <w:tcPr>
            <w:tcW w:type="dxa" w:w="78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If no acceptable resolution, file suit. Confirm: (1) the 4-year § 9-3-30 clock has not run from substantial completion; (2) the 6-year § 9-3-24 written-contract clock is preserved; (3) the 8-year § 9-3-51 repose has not run, or the 7th/8th-year discovery extension is available. File SLBRGC and Consumer Protection Division complaints in parallel.</w:t>
            </w:r>
          </w:p>
        </w:tc>
      </w:tr>
      <w:tr>
        <w:tc>
          <w:tcPr>
            <w:tcW w:type="dxa" w:w="15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At filing</w:t>
            </w:r>
          </w:p>
        </w:tc>
        <w:tc>
          <w:tcPr>
            <w:tcW w:type="dxa" w:w="78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File in Superior Court or State Court (for claims involving real property or where damages exceed $15,000). Magistrate Court for claims of $15,000 or less. Plead all available theories — implied warranty, written contract, negligence, fraud, FBPA — to preserve the longest available clock for each.</w:t>
            </w:r>
          </w:p>
        </w:tc>
      </w:tr>
    </w:tbl>
    <w:p>
      <w:pPr>
        <w:pStyle w:val="Heading1"/>
        <w:keepNext/>
        <w:pBdr>
          <w:bottom w:val="single" w:color="8C8C8C" w:sz="12" w:space="4"/>
        </w:pBdr>
        <w:spacing w:after="180" w:before="360"/>
      </w:pPr>
      <w:r>
        <w:rPr>
          <w:rFonts w:ascii="Calibri" w:cs="Calibri" w:eastAsia="Calibri" w:hAnsi="Calibri"/>
          <w:b/>
          <w:bCs/>
          <w:color w:val="2B2B2B"/>
          <w:sz w:val="36"/>
          <w:szCs w:val="36"/>
        </w:rPr>
        <w:t xml:space="preserve">12. Common Surprises and Misstatements</w:t>
      </w:r>
    </w:p>
    <w:p>
      <w:pPr>
        <w:pStyle w:val="ListParagraph"/>
        <w:numPr>
          <w:ilvl w:val="0"/>
          <w:numId w:val="3"/>
        </w:numPr>
        <w:spacing w:after="60" w:before="60" w:line="280"/>
      </w:pPr>
      <w:r>
        <w:rPr>
          <w:rFonts w:ascii="Calibri" w:cs="Calibri" w:eastAsia="Calibri" w:hAnsi="Calibri"/>
          <w:color w:val="2B2B2B"/>
          <w:sz w:val="22"/>
          <w:szCs w:val="22"/>
        </w:rPr>
        <w:t xml:space="preserve">Georgia does NOT apply a discovery rule to property-damage construction defects under O.C.G.A. § 9-3-30. The 4-year clock starts at substantial completion. A latent defect discovered in year 5 is already barred under the tort theory unless the homeowner can plead within the 6-year written-contract window, the § 9-3-51(b) discovery extension (only in years 7 and 8), or fraudulent concealment.</w:t>
      </w:r>
    </w:p>
    <w:p>
      <w:pPr>
        <w:pStyle w:val="ListParagraph"/>
        <w:numPr>
          <w:ilvl w:val="0"/>
          <w:numId w:val="3"/>
        </w:numPr>
        <w:spacing w:after="60" w:before="60" w:line="280"/>
      </w:pPr>
      <w:r>
        <w:rPr>
          <w:rFonts w:ascii="Calibri" w:cs="Calibri" w:eastAsia="Calibri" w:hAnsi="Calibri"/>
          <w:color w:val="2B2B2B"/>
          <w:sz w:val="22"/>
          <w:szCs w:val="22"/>
        </w:rPr>
        <w:t xml:space="preserve">Georgia has NO state contractor recovery fund. The SLBRGC imposes administrative discipline only — fines, suspension, or revocation. The civil lawsuit is the only meaningful path to monetary recovery. This surprises homeowners coming from Florida, Alabama, or other states with state-administered funds.</w:t>
      </w:r>
    </w:p>
    <w:p>
      <w:pPr>
        <w:pStyle w:val="ListParagraph"/>
        <w:numPr>
          <w:ilvl w:val="0"/>
          <w:numId w:val="3"/>
        </w:numPr>
        <w:spacing w:after="60" w:before="60" w:line="280"/>
      </w:pPr>
      <w:r>
        <w:rPr>
          <w:rFonts w:ascii="Calibri" w:cs="Calibri" w:eastAsia="Calibri" w:hAnsi="Calibri"/>
          <w:color w:val="2B2B2B"/>
          <w:sz w:val="22"/>
          <w:szCs w:val="22"/>
        </w:rPr>
        <w:t xml:space="preserve">The Holmes v. Worthey implied warranty doctrine applies only to builder-vendors of newly constructed homes. Caveat emptor remains the rule for resale of used homes. A subsequent purchaser must typically prove negligent construction, not rely on a pure warranty theory.</w:t>
      </w:r>
    </w:p>
    <w:p>
      <w:pPr>
        <w:pStyle w:val="ListParagraph"/>
        <w:numPr>
          <w:ilvl w:val="0"/>
          <w:numId w:val="3"/>
        </w:numPr>
        <w:spacing w:after="60" w:before="60" w:line="280"/>
      </w:pPr>
      <w:r>
        <w:rPr>
          <w:rFonts w:ascii="Calibri" w:cs="Calibri" w:eastAsia="Calibri" w:hAnsi="Calibri"/>
          <w:color w:val="2B2B2B"/>
          <w:sz w:val="22"/>
          <w:szCs w:val="22"/>
        </w:rPr>
        <w:t xml:space="preserve">The 8-year statute of repose under § 9-3-51 applies to property damage and personal injury as well as design and construction deficiencies. The 7th/8th-year discovery extension gives 2 years from injury but the total period cannot exceed 10 years. Section 9-3-51(c) preserves contract and express-warranty claims for their written term. Fraudulent concealment can also defeat the repose through equitable estoppel, but counsel should not rely on a "fraud exception" as a statutory matter — it is a doctrinal tolling argument that requires proof of concealment.</w:t>
      </w:r>
    </w:p>
    <w:p>
      <w:pPr>
        <w:pStyle w:val="ListParagraph"/>
        <w:numPr>
          <w:ilvl w:val="0"/>
          <w:numId w:val="3"/>
        </w:numPr>
        <w:spacing w:after="60" w:before="60" w:line="280"/>
      </w:pPr>
      <w:r>
        <w:rPr>
          <w:rFonts w:ascii="Calibri" w:cs="Calibri" w:eastAsia="Calibri" w:hAnsi="Calibri"/>
          <w:color w:val="2B2B2B"/>
          <w:sz w:val="22"/>
          <w:szCs w:val="22"/>
        </w:rPr>
        <w:t xml:space="preserve">Right to Repair Act non-compliance generally produces a stay or dismissal without prejudice — not a permanent bar — but the limitations clock does not stop running during the cure. Skipping the 90-day notice is therefore practically dangerous even if not legally fatal.</w:t>
      </w:r>
    </w:p>
    <w:p>
      <w:pPr>
        <w:pStyle w:val="ListParagraph"/>
        <w:numPr>
          <w:ilvl w:val="0"/>
          <w:numId w:val="3"/>
        </w:numPr>
        <w:spacing w:after="60" w:before="60" w:line="280"/>
      </w:pPr>
      <w:r>
        <w:rPr>
          <w:rFonts w:ascii="Calibri" w:cs="Calibri" w:eastAsia="Calibri" w:hAnsi="Calibri"/>
          <w:color w:val="2B2B2B"/>
          <w:sz w:val="22"/>
          <w:szCs w:val="22"/>
        </w:rPr>
        <w:t xml:space="preserve">FBPA applies to new-home transactions where deceptive practices are alleged (Tiismann, 2006). Treble damages are available for intentional violations and attorney's fees are mandatory upon a finding of violation — but the 2-year limitations period under § 10-1-401 is short.</w:t>
      </w:r>
    </w:p>
    <w:p>
      <w:pPr>
        <w:pStyle w:val="ListParagraph"/>
        <w:numPr>
          <w:ilvl w:val="0"/>
          <w:numId w:val="3"/>
        </w:numPr>
        <w:spacing w:after="60" w:before="60" w:line="280"/>
      </w:pPr>
      <w:r>
        <w:rPr>
          <w:rFonts w:ascii="Calibri" w:cs="Calibri" w:eastAsia="Calibri" w:hAnsi="Calibri"/>
          <w:color w:val="2B2B2B"/>
          <w:sz w:val="22"/>
          <w:szCs w:val="22"/>
        </w:rPr>
        <w:t xml:space="preserve">Sealed contracts carry a 20-year limitations period under § 9-3-23. Most modern builder contracts are not sealed, but the homeowner should check — a sealed contract is a meaningful advantage.</w:t>
      </w:r>
    </w:p>
    <w:p>
      <w:pPr>
        <w:pStyle w:val="ListParagraph"/>
        <w:numPr>
          <w:ilvl w:val="0"/>
          <w:numId w:val="3"/>
        </w:numPr>
        <w:spacing w:after="60" w:before="60" w:line="280"/>
      </w:pPr>
      <w:r>
        <w:rPr>
          <w:rFonts w:ascii="Calibri" w:cs="Calibri" w:eastAsia="Calibri" w:hAnsi="Calibri"/>
          <w:color w:val="2B2B2B"/>
          <w:sz w:val="22"/>
          <w:szCs w:val="22"/>
        </w:rPr>
        <w:t xml:space="preserve">Unlicensed contractor contracts are unenforceable under § 43-41-17(b) where licensure was required. The homeowner can still sue the unlicensed contractor for defective work; the contractor cannot collect on the contract or pursue mechanic's liens.</w:t>
      </w:r>
    </w:p>
    <w:p>
      <w:pPr>
        <w:pStyle w:val="ListParagraph"/>
        <w:numPr>
          <w:ilvl w:val="0"/>
          <w:numId w:val="3"/>
        </w:numPr>
        <w:spacing w:after="60" w:before="60" w:line="280"/>
      </w:pPr>
      <w:r>
        <w:rPr>
          <w:rFonts w:ascii="Calibri" w:cs="Calibri" w:eastAsia="Calibri" w:hAnsi="Calibri"/>
          <w:color w:val="2B2B2B"/>
          <w:sz w:val="22"/>
          <w:szCs w:val="22"/>
        </w:rPr>
        <w:t xml:space="preserve">Disclaimers in builder contracts are often enforced if clear and conspicuous, but courts will construe ambiguities against the builder. Conflicting handwritten and printed terms are construed in the homeowner's favor (Holloman v. D.R. Horton).</w:t>
      </w:r>
    </w:p>
    <w:p>
      <w:pPr>
        <w:pStyle w:val="ListParagraph"/>
        <w:numPr>
          <w:ilvl w:val="0"/>
          <w:numId w:val="3"/>
        </w:numPr>
        <w:spacing w:after="60" w:before="60" w:line="280"/>
      </w:pPr>
      <w:r>
        <w:rPr>
          <w:rFonts w:ascii="Calibri" w:cs="Calibri" w:eastAsia="Calibri" w:hAnsi="Calibri"/>
          <w:color w:val="2B2B2B"/>
          <w:sz w:val="22"/>
          <w:szCs w:val="22"/>
        </w:rPr>
        <w:t xml:space="preserve">There were no substantive amendments to the Right to Repair Act, § 9-3-30, or § 9-3-51 identified during 2024–2026 research. The Georgia DCA updated the residential building code (IRC adoptions) effective January 1, 2025 and January 1, 2026 — local permit and inspection issues should be checked against the version in force at the time of construction.</w:t>
      </w:r>
    </w:p>
    <w:p>
      <w:pPr>
        <w:pStyle w:val="Heading1"/>
        <w:keepNext/>
        <w:pBdr>
          <w:bottom w:val="single" w:color="8C8C8C" w:sz="12" w:space="4"/>
        </w:pBdr>
        <w:spacing w:after="180" w:before="360"/>
      </w:pPr>
      <w:r>
        <w:rPr>
          <w:rFonts w:ascii="Calibri" w:cs="Calibri" w:eastAsia="Calibri" w:hAnsi="Calibri"/>
          <w:b/>
          <w:bCs/>
          <w:color w:val="2B2B2B"/>
          <w:sz w:val="36"/>
          <w:szCs w:val="36"/>
        </w:rPr>
        <w:t xml:space="preserve">13. Authority Index</w:t>
      </w:r>
    </w:p>
    <w:p>
      <w:pPr>
        <w:pStyle w:val="Heading2"/>
        <w:keepNext/>
        <w:spacing w:after="120" w:before="260"/>
      </w:pPr>
      <w:r>
        <w:rPr>
          <w:rFonts w:ascii="Calibri" w:cs="Calibri" w:eastAsia="Calibri" w:hAnsi="Calibri"/>
          <w:b/>
          <w:bCs/>
          <w:color w:val="2B2B2B"/>
          <w:sz w:val="28"/>
          <w:szCs w:val="28"/>
        </w:rPr>
        <w:t xml:space="preserve">Georgia statutes</w:t>
      </w:r>
    </w:p>
    <w:p>
      <w:pPr>
        <w:pStyle w:val="ListParagraph"/>
        <w:numPr>
          <w:ilvl w:val="0"/>
          <w:numId w:val="2"/>
        </w:numPr>
        <w:spacing w:after="40" w:before="40" w:line="280"/>
      </w:pPr>
      <w:r>
        <w:rPr>
          <w:rFonts w:ascii="Calibri" w:cs="Calibri" w:eastAsia="Calibri" w:hAnsi="Calibri"/>
          <w:color w:val="2B2B2B"/>
          <w:sz w:val="22"/>
          <w:szCs w:val="22"/>
        </w:rPr>
        <w:t xml:space="preserve">O.C.G.A. § 8-2-35 — Right to Repair Act legislative findings.  </w:t>
      </w:r>
      <w:hyperlink w:history="1" r:id="rIdctsylpnt-rg9haejoj13i">
        <w:r>
          <w:rPr>
            <w:rFonts w:ascii="Calibri" w:cs="Calibri" w:eastAsia="Calibri" w:hAnsi="Calibri"/>
            <w:color w:val="1F3A68"/>
            <w:sz w:val="22"/>
            <w:szCs w:val="22"/>
            <w:u w:val="single"/>
          </w:rPr>
          <w:t xml:space="preserve">Justia</w:t>
        </w:r>
      </w:hyperlink>
    </w:p>
    <w:p>
      <w:pPr>
        <w:pStyle w:val="ListParagraph"/>
        <w:numPr>
          <w:ilvl w:val="0"/>
          <w:numId w:val="2"/>
        </w:numPr>
        <w:spacing w:after="40" w:before="40" w:line="280"/>
      </w:pPr>
      <w:r>
        <w:rPr>
          <w:rFonts w:ascii="Calibri" w:cs="Calibri" w:eastAsia="Calibri" w:hAnsi="Calibri"/>
          <w:color w:val="2B2B2B"/>
          <w:sz w:val="22"/>
          <w:szCs w:val="22"/>
        </w:rPr>
        <w:t xml:space="preserve">O.C.G.A. § 8-2-38 — 90-day pre-suit notice and 30-day contractor response.  </w:t>
      </w:r>
      <w:hyperlink w:history="1" r:id="rIdrvaz3bmem_tvpi0y304gp">
        <w:r>
          <w:rPr>
            <w:rFonts w:ascii="Calibri" w:cs="Calibri" w:eastAsia="Calibri" w:hAnsi="Calibri"/>
            <w:color w:val="1F3A68"/>
            <w:sz w:val="22"/>
            <w:szCs w:val="22"/>
            <w:u w:val="single"/>
          </w:rPr>
          <w:t xml:space="preserve">Justia</w:t>
        </w:r>
      </w:hyperlink>
    </w:p>
    <w:p>
      <w:pPr>
        <w:pStyle w:val="ListParagraph"/>
        <w:numPr>
          <w:ilvl w:val="0"/>
          <w:numId w:val="2"/>
        </w:numPr>
        <w:spacing w:after="40" w:before="40" w:line="280"/>
      </w:pPr>
      <w:r>
        <w:rPr>
          <w:rFonts w:ascii="Calibri" w:cs="Calibri" w:eastAsia="Calibri" w:hAnsi="Calibri"/>
          <w:color w:val="2B2B2B"/>
          <w:sz w:val="22"/>
          <w:szCs w:val="22"/>
        </w:rPr>
        <w:t xml:space="preserve">O.C.G.A. § 9-3-23 — 20-year limitations for sealed contracts.  </w:t>
      </w:r>
      <w:hyperlink w:history="1" r:id="rId93e99a_4_umpb0knkp_zi">
        <w:r>
          <w:rPr>
            <w:rFonts w:ascii="Calibri" w:cs="Calibri" w:eastAsia="Calibri" w:hAnsi="Calibri"/>
            <w:color w:val="1F3A68"/>
            <w:sz w:val="22"/>
            <w:szCs w:val="22"/>
            <w:u w:val="single"/>
          </w:rPr>
          <w:t xml:space="preserve">Justia</w:t>
        </w:r>
      </w:hyperlink>
    </w:p>
    <w:p>
      <w:pPr>
        <w:pStyle w:val="ListParagraph"/>
        <w:numPr>
          <w:ilvl w:val="0"/>
          <w:numId w:val="2"/>
        </w:numPr>
        <w:spacing w:after="40" w:before="40" w:line="280"/>
      </w:pPr>
      <w:r>
        <w:rPr>
          <w:rFonts w:ascii="Calibri" w:cs="Calibri" w:eastAsia="Calibri" w:hAnsi="Calibri"/>
          <w:color w:val="2B2B2B"/>
          <w:sz w:val="22"/>
          <w:szCs w:val="22"/>
        </w:rPr>
        <w:t xml:space="preserve">O.C.G.A. § 9-3-24 — 6-year limitations for simple written contracts.  </w:t>
      </w:r>
      <w:hyperlink w:history="1" r:id="rIdvlb2d7nw4xhyjiqeyjxzc">
        <w:r>
          <w:rPr>
            <w:rFonts w:ascii="Calibri" w:cs="Calibri" w:eastAsia="Calibri" w:hAnsi="Calibri"/>
            <w:color w:val="1F3A68"/>
            <w:sz w:val="22"/>
            <w:szCs w:val="22"/>
            <w:u w:val="single"/>
          </w:rPr>
          <w:t xml:space="preserve">Justia</w:t>
        </w:r>
      </w:hyperlink>
    </w:p>
    <w:p>
      <w:pPr>
        <w:pStyle w:val="ListParagraph"/>
        <w:numPr>
          <w:ilvl w:val="0"/>
          <w:numId w:val="2"/>
        </w:numPr>
        <w:spacing w:after="40" w:before="40" w:line="280"/>
      </w:pPr>
      <w:r>
        <w:rPr>
          <w:rFonts w:ascii="Calibri" w:cs="Calibri" w:eastAsia="Calibri" w:hAnsi="Calibri"/>
          <w:color w:val="2B2B2B"/>
          <w:sz w:val="22"/>
          <w:szCs w:val="22"/>
        </w:rPr>
        <w:t xml:space="preserve">O.C.G.A. § 9-3-26 — 4-year limitations for oral and implied contracts.  </w:t>
      </w:r>
      <w:hyperlink w:history="1" r:id="rIdja9yv9ehcph1wolci-th7">
        <w:r>
          <w:rPr>
            <w:rFonts w:ascii="Calibri" w:cs="Calibri" w:eastAsia="Calibri" w:hAnsi="Calibri"/>
            <w:color w:val="1F3A68"/>
            <w:sz w:val="22"/>
            <w:szCs w:val="22"/>
            <w:u w:val="single"/>
          </w:rPr>
          <w:t xml:space="preserve">Justia</w:t>
        </w:r>
      </w:hyperlink>
    </w:p>
    <w:p>
      <w:pPr>
        <w:pStyle w:val="ListParagraph"/>
        <w:numPr>
          <w:ilvl w:val="0"/>
          <w:numId w:val="2"/>
        </w:numPr>
        <w:spacing w:after="40" w:before="40" w:line="280"/>
      </w:pPr>
      <w:r>
        <w:rPr>
          <w:rFonts w:ascii="Calibri" w:cs="Calibri" w:eastAsia="Calibri" w:hAnsi="Calibri"/>
          <w:color w:val="2B2B2B"/>
          <w:sz w:val="22"/>
          <w:szCs w:val="22"/>
        </w:rPr>
        <w:t xml:space="preserve">O.C.G.A. § 9-3-30 — 4-year limitations for damage to realty (substantial completion).  </w:t>
      </w:r>
      <w:hyperlink w:history="1" r:id="rIdpymctzljj2cptozxdytog">
        <w:r>
          <w:rPr>
            <w:rFonts w:ascii="Calibri" w:cs="Calibri" w:eastAsia="Calibri" w:hAnsi="Calibri"/>
            <w:color w:val="1F3A68"/>
            <w:sz w:val="22"/>
            <w:szCs w:val="22"/>
            <w:u w:val="single"/>
          </w:rPr>
          <w:t xml:space="preserve">Justia</w:t>
        </w:r>
      </w:hyperlink>
    </w:p>
    <w:p>
      <w:pPr>
        <w:pStyle w:val="ListParagraph"/>
        <w:numPr>
          <w:ilvl w:val="0"/>
          <w:numId w:val="2"/>
        </w:numPr>
        <w:spacing w:after="40" w:before="40" w:line="280"/>
      </w:pPr>
      <w:r>
        <w:rPr>
          <w:rFonts w:ascii="Calibri" w:cs="Calibri" w:eastAsia="Calibri" w:hAnsi="Calibri"/>
          <w:color w:val="2B2B2B"/>
          <w:sz w:val="22"/>
          <w:szCs w:val="22"/>
        </w:rPr>
        <w:t xml:space="preserve">O.C.G.A. § 9-3-51 — 8-year statute of repose for improvements to real property.  </w:t>
      </w:r>
      <w:hyperlink w:history="1" r:id="rIdh7dkrmu9ncv86mc_6ybte">
        <w:r>
          <w:rPr>
            <w:rFonts w:ascii="Calibri" w:cs="Calibri" w:eastAsia="Calibri" w:hAnsi="Calibri"/>
            <w:color w:val="1F3A68"/>
            <w:sz w:val="22"/>
            <w:szCs w:val="22"/>
            <w:u w:val="single"/>
          </w:rPr>
          <w:t xml:space="preserve">Justia</w:t>
        </w:r>
      </w:hyperlink>
    </w:p>
    <w:p>
      <w:pPr>
        <w:pStyle w:val="ListParagraph"/>
        <w:numPr>
          <w:ilvl w:val="0"/>
          <w:numId w:val="2"/>
        </w:numPr>
        <w:spacing w:after="40" w:before="40" w:line="280"/>
      </w:pPr>
      <w:r>
        <w:rPr>
          <w:rFonts w:ascii="Calibri" w:cs="Calibri" w:eastAsia="Calibri" w:hAnsi="Calibri"/>
          <w:color w:val="2B2B2B"/>
          <w:sz w:val="22"/>
          <w:szCs w:val="22"/>
        </w:rPr>
        <w:t xml:space="preserve">O.C.G.A. § 10-1-399 — FBPA pre-suit demand and remedies.  </w:t>
      </w:r>
      <w:hyperlink w:history="1" r:id="rIdmxoxzp7gjbt2hhtevaty0">
        <w:r>
          <w:rPr>
            <w:rFonts w:ascii="Calibri" w:cs="Calibri" w:eastAsia="Calibri" w:hAnsi="Calibri"/>
            <w:color w:val="1F3A68"/>
            <w:sz w:val="22"/>
            <w:szCs w:val="22"/>
            <w:u w:val="single"/>
          </w:rPr>
          <w:t xml:space="preserve">Justia</w:t>
        </w:r>
      </w:hyperlink>
    </w:p>
    <w:p>
      <w:pPr>
        <w:pStyle w:val="ListParagraph"/>
        <w:numPr>
          <w:ilvl w:val="0"/>
          <w:numId w:val="2"/>
        </w:numPr>
        <w:spacing w:after="40" w:before="40" w:line="280"/>
      </w:pPr>
      <w:r>
        <w:rPr>
          <w:rFonts w:ascii="Calibri" w:cs="Calibri" w:eastAsia="Calibri" w:hAnsi="Calibri"/>
          <w:color w:val="2B2B2B"/>
          <w:sz w:val="22"/>
          <w:szCs w:val="22"/>
        </w:rPr>
        <w:t xml:space="preserve">O.C.G.A. § 10-1-401 — FBPA 2-year limitations.  </w:t>
      </w:r>
      <w:hyperlink w:history="1" r:id="rIdm7dgpbjvqueuqthv3ohz_">
        <w:r>
          <w:rPr>
            <w:rFonts w:ascii="Calibri" w:cs="Calibri" w:eastAsia="Calibri" w:hAnsi="Calibri"/>
            <w:color w:val="1F3A68"/>
            <w:sz w:val="22"/>
            <w:szCs w:val="22"/>
            <w:u w:val="single"/>
          </w:rPr>
          <w:t xml:space="preserve">Justia</w:t>
        </w:r>
      </w:hyperlink>
    </w:p>
    <w:p>
      <w:pPr>
        <w:pStyle w:val="ListParagraph"/>
        <w:numPr>
          <w:ilvl w:val="0"/>
          <w:numId w:val="2"/>
        </w:numPr>
        <w:spacing w:after="40" w:before="40" w:line="280"/>
      </w:pPr>
      <w:r>
        <w:rPr>
          <w:rFonts w:ascii="Calibri" w:cs="Calibri" w:eastAsia="Calibri" w:hAnsi="Calibri"/>
          <w:color w:val="2B2B2B"/>
          <w:sz w:val="22"/>
          <w:szCs w:val="22"/>
        </w:rPr>
        <w:t xml:space="preserve">O.C.G.A. § 13-6-11 — attorney's fees for bad faith or stubborn litigiousness.  </w:t>
      </w:r>
      <w:hyperlink w:history="1" r:id="rIds1ihdqa3fxpproyuqyigj">
        <w:r>
          <w:rPr>
            <w:rFonts w:ascii="Calibri" w:cs="Calibri" w:eastAsia="Calibri" w:hAnsi="Calibri"/>
            <w:color w:val="1F3A68"/>
            <w:sz w:val="22"/>
            <w:szCs w:val="22"/>
            <w:u w:val="single"/>
          </w:rPr>
          <w:t xml:space="preserve">Justia</w:t>
        </w:r>
      </w:hyperlink>
    </w:p>
    <w:p>
      <w:pPr>
        <w:pStyle w:val="ListParagraph"/>
        <w:numPr>
          <w:ilvl w:val="0"/>
          <w:numId w:val="2"/>
        </w:numPr>
        <w:spacing w:after="40" w:before="40" w:line="280"/>
      </w:pPr>
      <w:r>
        <w:rPr>
          <w:rFonts w:ascii="Calibri" w:cs="Calibri" w:eastAsia="Calibri" w:hAnsi="Calibri"/>
          <w:color w:val="2B2B2B"/>
          <w:sz w:val="22"/>
          <w:szCs w:val="22"/>
        </w:rPr>
        <w:t xml:space="preserve">O.C.G.A. § 15-7-4 — State Court jurisdiction.  </w:t>
      </w:r>
      <w:hyperlink w:history="1" r:id="rIdjs-ygkxnk6onatiulvsvn">
        <w:r>
          <w:rPr>
            <w:rFonts w:ascii="Calibri" w:cs="Calibri" w:eastAsia="Calibri" w:hAnsi="Calibri"/>
            <w:color w:val="1F3A68"/>
            <w:sz w:val="22"/>
            <w:szCs w:val="22"/>
            <w:u w:val="single"/>
          </w:rPr>
          <w:t xml:space="preserve">Justia</w:t>
        </w:r>
      </w:hyperlink>
    </w:p>
    <w:p>
      <w:pPr>
        <w:pStyle w:val="ListParagraph"/>
        <w:numPr>
          <w:ilvl w:val="0"/>
          <w:numId w:val="2"/>
        </w:numPr>
        <w:spacing w:after="40" w:before="40" w:line="280"/>
      </w:pPr>
      <w:r>
        <w:rPr>
          <w:rFonts w:ascii="Calibri" w:cs="Calibri" w:eastAsia="Calibri" w:hAnsi="Calibri"/>
          <w:color w:val="2B2B2B"/>
          <w:sz w:val="22"/>
          <w:szCs w:val="22"/>
        </w:rPr>
        <w:t xml:space="preserve">O.C.G.A. § 15-10-2 — Magistrate Court $15,000 jurisdiction.  </w:t>
      </w:r>
      <w:hyperlink w:history="1" r:id="rIdrxphcx-jeg43dencefzmt">
        <w:r>
          <w:rPr>
            <w:rFonts w:ascii="Calibri" w:cs="Calibri" w:eastAsia="Calibri" w:hAnsi="Calibri"/>
            <w:color w:val="1F3A68"/>
            <w:sz w:val="22"/>
            <w:szCs w:val="22"/>
            <w:u w:val="single"/>
          </w:rPr>
          <w:t xml:space="preserve">Justia</w:t>
        </w:r>
      </w:hyperlink>
    </w:p>
    <w:p>
      <w:pPr>
        <w:pStyle w:val="ListParagraph"/>
        <w:numPr>
          <w:ilvl w:val="0"/>
          <w:numId w:val="2"/>
        </w:numPr>
        <w:spacing w:after="40" w:before="40" w:line="280"/>
      </w:pPr>
      <w:r>
        <w:rPr>
          <w:rFonts w:ascii="Calibri" w:cs="Calibri" w:eastAsia="Calibri" w:hAnsi="Calibri"/>
          <w:color w:val="2B2B2B"/>
          <w:sz w:val="22"/>
          <w:szCs w:val="22"/>
        </w:rPr>
        <w:t xml:space="preserve">O.C.G.A. § 43-41-17 — licensing thresholds; unlicensed contractor contracts unenforceable.  </w:t>
      </w:r>
      <w:hyperlink w:history="1" r:id="rIdfsis-q8szebj-gazo7pfd">
        <w:r>
          <w:rPr>
            <w:rFonts w:ascii="Calibri" w:cs="Calibri" w:eastAsia="Calibri" w:hAnsi="Calibri"/>
            <w:color w:val="1F3A68"/>
            <w:sz w:val="22"/>
            <w:szCs w:val="22"/>
            <w:u w:val="single"/>
          </w:rPr>
          <w:t xml:space="preserve">Justia</w:t>
        </w:r>
      </w:hyperlink>
    </w:p>
    <w:p>
      <w:pPr>
        <w:pStyle w:val="ListParagraph"/>
        <w:numPr>
          <w:ilvl w:val="0"/>
          <w:numId w:val="2"/>
        </w:numPr>
        <w:spacing w:after="40" w:before="40" w:line="280"/>
      </w:pPr>
      <w:r>
        <w:rPr>
          <w:rFonts w:ascii="Calibri" w:cs="Calibri" w:eastAsia="Calibri" w:hAnsi="Calibri"/>
          <w:color w:val="2B2B2B"/>
          <w:sz w:val="22"/>
          <w:szCs w:val="22"/>
        </w:rPr>
        <w:t xml:space="preserve">O.C.G.A. § 51-12-5.1 — punitive damages cap.  </w:t>
      </w:r>
      <w:hyperlink w:history="1" r:id="rIduiofukarbjjxs-n2-9fjn">
        <w:r>
          <w:rPr>
            <w:rFonts w:ascii="Calibri" w:cs="Calibri" w:eastAsia="Calibri" w:hAnsi="Calibri"/>
            <w:color w:val="1F3A68"/>
            <w:sz w:val="22"/>
            <w:szCs w:val="22"/>
            <w:u w:val="single"/>
          </w:rPr>
          <w:t xml:space="preserve">Justia</w:t>
        </w:r>
      </w:hyperlink>
    </w:p>
    <w:p>
      <w:pPr>
        <w:pStyle w:val="Heading2"/>
        <w:keepNext/>
        <w:spacing w:after="120" w:before="260"/>
      </w:pPr>
      <w:r>
        <w:rPr>
          <w:rFonts w:ascii="Calibri" w:cs="Calibri" w:eastAsia="Calibri" w:hAnsi="Calibri"/>
          <w:b/>
          <w:bCs/>
          <w:color w:val="2B2B2B"/>
          <w:sz w:val="28"/>
          <w:szCs w:val="28"/>
        </w:rPr>
        <w:t xml:space="preserve">Georgia case law</w:t>
      </w:r>
    </w:p>
    <w:p>
      <w:pPr>
        <w:pStyle w:val="ListParagraph"/>
        <w:numPr>
          <w:ilvl w:val="0"/>
          <w:numId w:val="2"/>
        </w:numPr>
        <w:spacing w:after="40" w:before="40" w:line="280"/>
      </w:pPr>
      <w:r>
        <w:rPr>
          <w:rFonts w:ascii="Calibri" w:cs="Calibri" w:eastAsia="Calibri" w:hAnsi="Calibri"/>
          <w:b w:val="false"/>
          <w:bCs w:val="false"/>
          <w:i/>
          <w:iCs/>
          <w:color w:val="2B2B2B"/>
          <w:sz w:val="22"/>
          <w:szCs w:val="22"/>
        </w:rPr>
        <w:t xml:space="preserve">Holmes v. Worthey</w:t>
      </w:r>
      <w:r>
        <w:rPr>
          <w:rFonts w:ascii="Calibri" w:cs="Calibri" w:eastAsia="Calibri" w:hAnsi="Calibri"/>
          <w:color w:val="2B2B2B"/>
          <w:sz w:val="22"/>
          <w:szCs w:val="22"/>
        </w:rPr>
        <w:t xml:space="preserve">, 159 Ga. App. 262, 282 S.E.2d 919 (1981), affirmed at 249 Ga. 104, 287 S.E.2d 9 (1982) — foundational builder-vendor implied warranty.  </w:t>
      </w:r>
      <w:hyperlink w:history="1" r:id="rIdvobqrwvid8fxnsr4tjee5">
        <w:r>
          <w:rPr>
            <w:rFonts w:ascii="Calibri" w:cs="Calibri" w:eastAsia="Calibri" w:hAnsi="Calibri"/>
            <w:color w:val="1F3A68"/>
            <w:sz w:val="22"/>
            <w:szCs w:val="22"/>
            <w:u w:val="single"/>
          </w:rPr>
          <w:t xml:space="preserve">Lexology summary</w:t>
        </w:r>
      </w:hyperlink>
    </w:p>
    <w:p>
      <w:pPr>
        <w:pStyle w:val="ListParagraph"/>
        <w:numPr>
          <w:ilvl w:val="0"/>
          <w:numId w:val="2"/>
        </w:numPr>
        <w:spacing w:after="40" w:before="40" w:line="280"/>
      </w:pPr>
      <w:r>
        <w:rPr>
          <w:rFonts w:ascii="Calibri" w:cs="Calibri" w:eastAsia="Calibri" w:hAnsi="Calibri"/>
          <w:b w:val="false"/>
          <w:bCs w:val="false"/>
          <w:i/>
          <w:iCs/>
          <w:color w:val="2B2B2B"/>
          <w:sz w:val="22"/>
          <w:szCs w:val="22"/>
        </w:rPr>
        <w:t xml:space="preserve">Holloman v. D.R. Horton, Inc.</w:t>
      </w:r>
      <w:r>
        <w:rPr>
          <w:rFonts w:ascii="Calibri" w:cs="Calibri" w:eastAsia="Calibri" w:hAnsi="Calibri"/>
          <w:color w:val="2B2B2B"/>
          <w:sz w:val="22"/>
          <w:szCs w:val="22"/>
        </w:rPr>
        <w:t xml:space="preserve">, 241 Ga. App. 141, 524 S.E.2d 790 (1999) — disclaimer effectiveness is a fact question; ambiguities construed against the builder.  </w:t>
      </w:r>
      <w:hyperlink w:history="1" r:id="rIdlu_ulzj4xgwiznvp0n7nl">
        <w:r>
          <w:rPr>
            <w:rFonts w:ascii="Calibri" w:cs="Calibri" w:eastAsia="Calibri" w:hAnsi="Calibri"/>
            <w:color w:val="1F3A68"/>
            <w:sz w:val="22"/>
            <w:szCs w:val="22"/>
            <w:u w:val="single"/>
          </w:rPr>
          <w:t xml:space="preserve">Justia</w:t>
        </w:r>
      </w:hyperlink>
    </w:p>
    <w:p>
      <w:pPr>
        <w:pStyle w:val="ListParagraph"/>
        <w:numPr>
          <w:ilvl w:val="0"/>
          <w:numId w:val="2"/>
        </w:numPr>
        <w:spacing w:after="40" w:before="40" w:line="280"/>
      </w:pPr>
      <w:r>
        <w:rPr>
          <w:rFonts w:ascii="Calibri" w:cs="Calibri" w:eastAsia="Calibri" w:hAnsi="Calibri"/>
          <w:b w:val="false"/>
          <w:bCs w:val="false"/>
          <w:i/>
          <w:iCs/>
          <w:color w:val="2B2B2B"/>
          <w:sz w:val="22"/>
          <w:szCs w:val="22"/>
        </w:rPr>
        <w:t xml:space="preserve">Tiismann v. Linda Martin Homes Corp.</w:t>
      </w:r>
      <w:r>
        <w:rPr>
          <w:rFonts w:ascii="Calibri" w:cs="Calibri" w:eastAsia="Calibri" w:hAnsi="Calibri"/>
          <w:color w:val="2B2B2B"/>
          <w:sz w:val="22"/>
          <w:szCs w:val="22"/>
        </w:rPr>
        <w:t xml:space="preserve">, 281 Ga. 137, 637 S.E.2d 14 (2006) — FBPA applies to new home construction transactions; accrual at damages.  </w:t>
      </w:r>
      <w:hyperlink w:history="1" r:id="rIdoq4mble7hplw1qns9sbed">
        <w:r>
          <w:rPr>
            <w:rFonts w:ascii="Calibri" w:cs="Calibri" w:eastAsia="Calibri" w:hAnsi="Calibri"/>
            <w:color w:val="1F3A68"/>
            <w:sz w:val="22"/>
            <w:szCs w:val="22"/>
            <w:u w:val="single"/>
          </w:rPr>
          <w:t xml:space="preserve">Justia</w:t>
        </w:r>
      </w:hyperlink>
    </w:p>
    <w:p>
      <w:pPr>
        <w:pStyle w:val="Heading2"/>
        <w:keepNext/>
        <w:spacing w:after="120" w:before="260"/>
      </w:pPr>
      <w:r>
        <w:rPr>
          <w:rFonts w:ascii="Calibri" w:cs="Calibri" w:eastAsia="Calibri" w:hAnsi="Calibri"/>
          <w:b/>
          <w:bCs/>
          <w:color w:val="2B2B2B"/>
          <w:sz w:val="28"/>
          <w:szCs w:val="28"/>
        </w:rPr>
        <w:t xml:space="preserve">Agencies and resources</w:t>
      </w:r>
    </w:p>
    <w:p>
      <w:pPr>
        <w:pStyle w:val="ListParagraph"/>
        <w:numPr>
          <w:ilvl w:val="0"/>
          <w:numId w:val="2"/>
        </w:numPr>
        <w:spacing w:after="40" w:before="40" w:line="280"/>
      </w:pPr>
      <w:r>
        <w:rPr>
          <w:rFonts w:ascii="Calibri" w:cs="Calibri" w:eastAsia="Calibri" w:hAnsi="Calibri"/>
          <w:color w:val="2B2B2B"/>
          <w:sz w:val="22"/>
          <w:szCs w:val="22"/>
        </w:rPr>
        <w:t xml:space="preserve">State Licensing Board for Residential and General Contractors.  </w:t>
      </w:r>
      <w:hyperlink w:history="1" r:id="rIdom1vdhstsinyjbyl6h60u">
        <w:r>
          <w:rPr>
            <w:rFonts w:ascii="Calibri" w:cs="Calibri" w:eastAsia="Calibri" w:hAnsi="Calibri"/>
            <w:color w:val="1F3A68"/>
            <w:sz w:val="22"/>
            <w:szCs w:val="22"/>
            <w:u w:val="single"/>
          </w:rPr>
          <w:t xml:space="preserve">sos.ga.gov SLBRGC</w:t>
        </w:r>
      </w:hyperlink>
    </w:p>
    <w:p>
      <w:pPr>
        <w:pStyle w:val="ListParagraph"/>
        <w:numPr>
          <w:ilvl w:val="0"/>
          <w:numId w:val="2"/>
        </w:numPr>
        <w:spacing w:after="40" w:before="40" w:line="280"/>
      </w:pPr>
      <w:r>
        <w:rPr>
          <w:rFonts w:ascii="Calibri" w:cs="Calibri" w:eastAsia="Calibri" w:hAnsi="Calibri"/>
          <w:color w:val="2B2B2B"/>
          <w:sz w:val="22"/>
          <w:szCs w:val="22"/>
        </w:rPr>
        <w:t xml:space="preserve">Georgia Department of Law — Consumer Protection Division.  </w:t>
      </w:r>
      <w:hyperlink w:history="1" r:id="rIdmxlhckxib55yp4ehyei28">
        <w:r>
          <w:rPr>
            <w:rFonts w:ascii="Calibri" w:cs="Calibri" w:eastAsia="Calibri" w:hAnsi="Calibri"/>
            <w:color w:val="1F3A68"/>
            <w:sz w:val="22"/>
            <w:szCs w:val="22"/>
            <w:u w:val="single"/>
          </w:rPr>
          <w:t xml:space="preserve">consumer.georgia.gov</w:t>
        </w:r>
      </w:hyperlink>
    </w:p>
    <w:p>
      <w:pPr>
        <w:pStyle w:val="ListParagraph"/>
        <w:numPr>
          <w:ilvl w:val="0"/>
          <w:numId w:val="2"/>
        </w:numPr>
        <w:spacing w:after="40" w:before="40" w:line="280"/>
      </w:pPr>
      <w:r>
        <w:rPr>
          <w:rFonts w:ascii="Calibri" w:cs="Calibri" w:eastAsia="Calibri" w:hAnsi="Calibri"/>
          <w:color w:val="2B2B2B"/>
          <w:sz w:val="22"/>
          <w:szCs w:val="22"/>
        </w:rPr>
        <w:t xml:space="preserve">Right to Repair Act overview — Consumer Protection Division.  </w:t>
      </w:r>
      <w:hyperlink w:history="1" r:id="rIdtr2hzctihkumzawzn7tgq">
        <w:r>
          <w:rPr>
            <w:rFonts w:ascii="Calibri" w:cs="Calibri" w:eastAsia="Calibri" w:hAnsi="Calibri"/>
            <w:color w:val="1F3A68"/>
            <w:sz w:val="22"/>
            <w:szCs w:val="22"/>
            <w:u w:val="single"/>
          </w:rPr>
          <w:t xml:space="preserve">consumer.georgia.gov — Right to Repair</w:t>
        </w:r>
      </w:hyperlink>
    </w:p>
    <w:p>
      <w:pPr>
        <w:pStyle w:val="ListParagraph"/>
        <w:numPr>
          <w:ilvl w:val="0"/>
          <w:numId w:val="2"/>
        </w:numPr>
        <w:spacing w:after="40" w:before="40" w:line="280"/>
      </w:pPr>
      <w:r>
        <w:rPr>
          <w:rFonts w:ascii="Calibri" w:cs="Calibri" w:eastAsia="Calibri" w:hAnsi="Calibri"/>
          <w:color w:val="2B2B2B"/>
          <w:sz w:val="22"/>
          <w:szCs w:val="22"/>
        </w:rPr>
        <w:t xml:space="preserve">Georgia Department of Community Affairs — building codes.  </w:t>
      </w:r>
      <w:hyperlink w:history="1" r:id="rIdllawev6r4gyifpi69ndwt">
        <w:r>
          <w:rPr>
            <w:rFonts w:ascii="Calibri" w:cs="Calibri" w:eastAsia="Calibri" w:hAnsi="Calibri"/>
            <w:color w:val="1F3A68"/>
            <w:sz w:val="22"/>
            <w:szCs w:val="22"/>
            <w:u w:val="single"/>
          </w:rPr>
          <w:t xml:space="preserve">dca.georgia.gov</w:t>
        </w:r>
      </w:hyperlink>
    </w:p>
    <w:p>
      <w:pPr>
        <w:pStyle w:val="ListParagraph"/>
        <w:numPr>
          <w:ilvl w:val="0"/>
          <w:numId w:val="2"/>
        </w:numPr>
        <w:spacing w:after="40" w:before="40" w:line="280"/>
      </w:pPr>
      <w:r>
        <w:rPr>
          <w:rFonts w:ascii="Calibri" w:cs="Calibri" w:eastAsia="Calibri" w:hAnsi="Calibri"/>
          <w:color w:val="2B2B2B"/>
          <w:sz w:val="22"/>
          <w:szCs w:val="22"/>
        </w:rPr>
        <w:t xml:space="preserve">Greater Atlanta Home Builders Association.  </w:t>
      </w:r>
      <w:hyperlink w:history="1" r:id="rIdxpaxbt6z7lyvhbcjkdwsn">
        <w:r>
          <w:rPr>
            <w:rFonts w:ascii="Calibri" w:cs="Calibri" w:eastAsia="Calibri" w:hAnsi="Calibri"/>
            <w:color w:val="1F3A68"/>
            <w:sz w:val="22"/>
            <w:szCs w:val="22"/>
            <w:u w:val="single"/>
          </w:rPr>
          <w:t xml:space="preserve">atlantahomebuilders.com</w:t>
        </w:r>
      </w:hyperlink>
    </w:p>
    <w:p>
      <w:pPr>
        <w:pStyle w:val="ListParagraph"/>
        <w:numPr>
          <w:ilvl w:val="0"/>
          <w:numId w:val="2"/>
        </w:numPr>
        <w:spacing w:after="40" w:before="40" w:line="280"/>
      </w:pPr>
      <w:r>
        <w:rPr>
          <w:rFonts w:ascii="Calibri" w:cs="Calibri" w:eastAsia="Calibri" w:hAnsi="Calibri"/>
          <w:color w:val="2B2B2B"/>
          <w:sz w:val="22"/>
          <w:szCs w:val="22"/>
        </w:rPr>
        <w:t xml:space="preserve">Better Business Bureau.  </w:t>
      </w:r>
      <w:hyperlink w:history="1" r:id="rIdzuy_amgur0im1kqdngj0y">
        <w:r>
          <w:rPr>
            <w:rFonts w:ascii="Calibri" w:cs="Calibri" w:eastAsia="Calibri" w:hAnsi="Calibri"/>
            <w:color w:val="1F3A68"/>
            <w:sz w:val="22"/>
            <w:szCs w:val="22"/>
            <w:u w:val="single"/>
          </w:rPr>
          <w:t xml:space="preserve">bbb.org</w:t>
        </w:r>
      </w:hyperlink>
    </w:p>
    <w:p>
      <w:pPr>
        <w:pStyle w:val="Heading1"/>
        <w:keepNext/>
        <w:pBdr>
          <w:bottom w:val="single" w:color="8C8C8C" w:sz="12" w:space="4"/>
        </w:pBdr>
        <w:spacing w:after="180" w:before="360"/>
      </w:pPr>
      <w:r>
        <w:rPr>
          <w:rFonts w:ascii="Calibri" w:cs="Calibri" w:eastAsia="Calibri" w:hAnsi="Calibri"/>
          <w:b/>
          <w:bCs/>
          <w:color w:val="2B2B2B"/>
          <w:sz w:val="36"/>
          <w:szCs w:val="36"/>
        </w:rPr>
        <w:t xml:space="preserve">14. Disclaimer</w:t>
      </w:r>
    </w:p>
    <w:p>
      <w:pPr>
        <w:spacing w:after="80" w:before="80" w:line="300"/>
        <w:jc w:val="left"/>
      </w:pPr>
      <w:r>
        <w:rPr>
          <w:rFonts w:ascii="Calibri" w:cs="Calibri" w:eastAsia="Calibri" w:hAnsi="Calibri"/>
          <w:b w:val="false"/>
          <w:bCs w:val="false"/>
          <w:i w:val="false"/>
          <w:iCs w:val="false"/>
          <w:color w:val="2B2B2B"/>
          <w:sz w:val="22"/>
          <w:szCs w:val="22"/>
        </w:rPr>
        <w:t xml:space="preserve">This document is general reference material. It is not legal advice. Reading this document does not create an attorney–client relationship. Georgia's limitations framework is unusually unforgiving — the absence of a discovery rule under § 9-3-30 means a latent defect discovered in year 5 can already be barred. Before relying on any citation or procedure described here, the reader should verify it against current Georgia authority and consult a licensed Georgia attorney about the specific facts at issue. Any time-sensitive analysis should be done immediately upon discovery of any defect — Georgia rewards prompt action and penalizes delay more harshly than most states.</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555555"/>
        <w:sz w:val="18"/>
        <w:szCs w:val="18"/>
      </w:rPr>
      <w:t xml:space="preserve">Page </w:t>
    </w:r>
    <w:r>
      <w:rPr>
        <w:rFonts w:ascii="Calibri" w:cs="Calibri" w:eastAsia="Calibri" w:hAnsi="Calibri"/>
        <w:color w:val="555555"/>
        <w:sz w:val="18"/>
        <w:szCs w:val="18"/>
      </w:rPr>
      <w:fldChar w:fldCharType="begin"/>
      <w:instrText xml:space="preserve">PAGE</w:instrText>
      <w:fldChar w:fldCharType="separate"/>
      <w:fldChar w:fldCharType="end"/>
    </w:r>
    <w:r>
      <w:rPr>
        <w:rFonts w:ascii="Calibri" w:cs="Calibri" w:eastAsia="Calibri" w:hAnsi="Calibri"/>
        <w:color w:val="555555"/>
        <w:sz w:val="18"/>
        <w:szCs w:val="18"/>
      </w:rPr>
      <w:t xml:space="preserve"> — General reference, not legal advice.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Calibri" w:cs="Calibri" w:eastAsia="Calibri" w:hAnsi="Calibri"/>
        <w:i/>
        <w:iCs/>
        <w:color w:val="555555"/>
        <w:sz w:val="18"/>
        <w:szCs w:val="18"/>
      </w:rPr>
      <w:t xml:space="preserve">Georgia New Home Construction Warranty Reference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2B2B2B"/>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80" w:before="360"/>
      <w:outlineLvl w:val="0"/>
    </w:pPr>
    <w:rPr>
      <w:rFonts w:ascii="Calibri" w:cs="Calibri" w:eastAsia="Calibri" w:hAnsi="Calibri"/>
      <w:b/>
      <w:bCs/>
      <w:color w:val="2B2B2B"/>
      <w:sz w:val="36"/>
      <w:szCs w:val="36"/>
    </w:rPr>
  </w:style>
  <w:style w:type="paragraph" w:styleId="Heading2">
    <w:name w:val="Heading 2"/>
    <w:basedOn w:val="Normal"/>
    <w:next w:val="Normal"/>
    <w:qFormat/>
    <w:pPr>
      <w:spacing w:after="120" w:before="260"/>
      <w:outlineLvl w:val="1"/>
    </w:pPr>
    <w:rPr>
      <w:rFonts w:ascii="Calibri" w:cs="Calibri" w:eastAsia="Calibri" w:hAnsi="Calibri"/>
      <w:b/>
      <w:bCs/>
      <w:color w:val="2B2B2B"/>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oce0zyb4uccsn7y5flajc" Type="http://schemas.openxmlformats.org/officeDocument/2006/relationships/hyperlink" Target="https://sos.ga.gov/state-licensing-board-residential-and-commercial-general-contractors" TargetMode="External"/><Relationship Id="rIdndsrlvmqbopm5v23tgagt" Type="http://schemas.openxmlformats.org/officeDocument/2006/relationships/hyperlink" Target="https://consumer.georgia.gov/" TargetMode="External"/><Relationship Id="rIdjdttmlpwbhlb-zdntli7e" Type="http://schemas.openxmlformats.org/officeDocument/2006/relationships/hyperlink" Target="https://consumer.georgia.gov/consumer-topics/right-repair-act" TargetMode="External"/><Relationship Id="rIdw6n4wxat_dk3cz2ycscgz" Type="http://schemas.openxmlformats.org/officeDocument/2006/relationships/hyperlink" Target="https://www.atlantahomebuilders.com/" TargetMode="External"/><Relationship Id="rId-rkpigqf4y1d5s2fhrtg1" Type="http://schemas.openxmlformats.org/officeDocument/2006/relationships/hyperlink" Target="https://www.bbb.org/" TargetMode="External"/><Relationship Id="rIdctsylpnt-rg9haejoj13i" Type="http://schemas.openxmlformats.org/officeDocument/2006/relationships/hyperlink" Target="https://law.justia.com/codes/georgia/title-8/chapter-2/article-1/part-2a/section-8-2-35/" TargetMode="External"/><Relationship Id="rIdrvaz3bmem_tvpi0y304gp" Type="http://schemas.openxmlformats.org/officeDocument/2006/relationships/hyperlink" Target="https://law.justia.com/codes/georgia/title-8/chapter-2/article-1/part-2a/section-8-2-38/" TargetMode="External"/><Relationship Id="rId93e99a_4_umpb0knkp_zi" Type="http://schemas.openxmlformats.org/officeDocument/2006/relationships/hyperlink" Target="https://law.justia.com/codes/georgia/2020/title-9/chapter-3/article-2/section-9-3-23/" TargetMode="External"/><Relationship Id="rIdvlb2d7nw4xhyjiqeyjxzc" Type="http://schemas.openxmlformats.org/officeDocument/2006/relationships/hyperlink" Target="https://law.justia.com/codes/georgia/2020/title-9/chapter-3/article-2/section-9-3-24/" TargetMode="External"/><Relationship Id="rIdja9yv9ehcph1wolci-th7" Type="http://schemas.openxmlformats.org/officeDocument/2006/relationships/hyperlink" Target="https://law.justia.com/codes/georgia/2020/title-9/chapter-3/article-2/section-9-3-26/" TargetMode="External"/><Relationship Id="rIdpymctzljj2cptozxdytog" Type="http://schemas.openxmlformats.org/officeDocument/2006/relationships/hyperlink" Target="https://law.justia.com/codes/georgia/2021/title-9/chapter-3/article-2/section-9-3-30/" TargetMode="External"/><Relationship Id="rIdh7dkrmu9ncv86mc_6ybte" Type="http://schemas.openxmlformats.org/officeDocument/2006/relationships/hyperlink" Target="https://law.justia.com/codes/georgia/2020/title-9/chapter-3/article-3/section-9-3-51/" TargetMode="External"/><Relationship Id="rIdmxoxzp7gjbt2hhtevaty0" Type="http://schemas.openxmlformats.org/officeDocument/2006/relationships/hyperlink" Target="https://law.justia.com/codes/georgia/title-10/chapter-1/article-15/part-2/section-10-1-399/" TargetMode="External"/><Relationship Id="rIdm7dgpbjvqueuqthv3ohz_" Type="http://schemas.openxmlformats.org/officeDocument/2006/relationships/hyperlink" Target="https://law.justia.com/codes/georgia/2020/title-10/chapter-1/article-15/part-2/section-10-1-401/" TargetMode="External"/><Relationship Id="rIds1ihdqa3fxpproyuqyigj" Type="http://schemas.openxmlformats.org/officeDocument/2006/relationships/hyperlink" Target="https://law.justia.com/codes/georgia/2020/title-13/chapter-6/section-13-6-11/" TargetMode="External"/><Relationship Id="rIdjs-ygkxnk6onatiulvsvn" Type="http://schemas.openxmlformats.org/officeDocument/2006/relationships/hyperlink" Target="https://law.justia.com/codes/georgia/title-15/chapter-7/article-1/section-15-7-4/" TargetMode="External"/><Relationship Id="rIdrxphcx-jeg43dencefzmt" Type="http://schemas.openxmlformats.org/officeDocument/2006/relationships/hyperlink" Target="https://law.justia.com/codes/georgia/2020/title-15/chapter-10/article-1/section-15-10-2/" TargetMode="External"/><Relationship Id="rIdfsis-q8szebj-gazo7pfd" Type="http://schemas.openxmlformats.org/officeDocument/2006/relationships/hyperlink" Target="https://law.justia.com/codes/georgia/title-43/chapter-41/section-43-41-17/" TargetMode="External"/><Relationship Id="rIduiofukarbjjxs-n2-9fjn" Type="http://schemas.openxmlformats.org/officeDocument/2006/relationships/hyperlink" Target="https://law.justia.com/codes/georgia/title-51/chapter-12/article-1/section-51-12-5-1/" TargetMode="External"/><Relationship Id="rIdvobqrwvid8fxnsr4tjee5" Type="http://schemas.openxmlformats.org/officeDocument/2006/relationships/hyperlink" Target="https://www.lexology.com/library/detail.aspx?g=137903d5-035d-4966-a2bf-0e627d9c6388" TargetMode="External"/><Relationship Id="rIdlu_ulzj4xgwiznvp0n7nl" Type="http://schemas.openxmlformats.org/officeDocument/2006/relationships/hyperlink" Target="https://law.justia.com/cases/georgia/court-of-appeals/1999/a99a1532-0.html" TargetMode="External"/><Relationship Id="rIdoq4mble7hplw1qns9sbed" Type="http://schemas.openxmlformats.org/officeDocument/2006/relationships/hyperlink" Target="https://law.justia.com/cases/georgia/supreme-court/2005/s05g0001-1.html" TargetMode="External"/><Relationship Id="rIdom1vdhstsinyjbyl6h60u" Type="http://schemas.openxmlformats.org/officeDocument/2006/relationships/hyperlink" Target="https://sos.ga.gov/state-licensing-board-residential-and-commercial-general-contractors" TargetMode="External"/><Relationship Id="rIdmxlhckxib55yp4ehyei28" Type="http://schemas.openxmlformats.org/officeDocument/2006/relationships/hyperlink" Target="https://consumer.georgia.gov/" TargetMode="External"/><Relationship Id="rIdtr2hzctihkumzawzn7tgq" Type="http://schemas.openxmlformats.org/officeDocument/2006/relationships/hyperlink" Target="https://consumer.georgia.gov/consumer-topics/right-repair-act" TargetMode="External"/><Relationship Id="rIdllawev6r4gyifpi69ndwt" Type="http://schemas.openxmlformats.org/officeDocument/2006/relationships/hyperlink" Target="https://dca.georgia.gov/" TargetMode="External"/><Relationship Id="rIdxpaxbt6z7lyvhbcjkdwsn" Type="http://schemas.openxmlformats.org/officeDocument/2006/relationships/hyperlink" Target="https://www.atlantahomebuilders.com/" TargetMode="External"/><Relationship Id="rIdzuy_amgur0im1kqdngj0y" Type="http://schemas.openxmlformats.org/officeDocument/2006/relationships/hyperlink" Target="https://www.bbb.org/" TargetMode="External"/><Relationship Id="rId3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Georgia New Home Construction Warranty Reference</dc:title>
  <dc:creator>New Build Warranty Reference</dc:creator>
  <cp:lastModifiedBy>Un-named</cp:lastModifiedBy>
  <cp:revision>1</cp:revision>
  <dcterms:created xsi:type="dcterms:W3CDTF">2026-05-22T01:55:52.045Z</dcterms:created>
  <dcterms:modified xsi:type="dcterms:W3CDTF">2026-05-22T01:55:52.045Z</dcterms:modified>
</cp:coreProperties>
</file>

<file path=docProps/custom.xml><?xml version="1.0" encoding="utf-8"?>
<Properties xmlns="http://schemas.openxmlformats.org/officeDocument/2006/custom-properties" xmlns:vt="http://schemas.openxmlformats.org/officeDocument/2006/docPropsVTypes"/>
</file>