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600"/>
              <w:left w:type="dxa" w:w="400"/>
              <w:bottom w:type="dxa" w:w="600"/>
              <w:right w:type="dxa" w:w="400"/>
            </w:tcMar>
          </w:tcPr>
          <w:p>
            <w:pPr>
              <w:spacing w:after="200"/>
              <w:jc w:val="center"/>
            </w:pPr>
            <w:r>
              <w:rPr>
                <w:rFonts w:ascii="Calibri" w:cs="Calibri" w:eastAsia="Calibri" w:hAnsi="Calibri"/>
                <w:b/>
                <w:bCs/>
                <w:color w:val="FFFFFF"/>
                <w:sz w:val="44"/>
                <w:szCs w:val="44"/>
              </w:rPr>
              <w:t xml:space="preserve">Kentucky New Home Implied Warranty</w:t>
            </w:r>
          </w:p>
          <w:p>
            <w:pPr>
              <w:jc w:val="center"/>
            </w:pPr>
            <w:r>
              <w:rPr>
                <w:rFonts w:ascii="Calibri" w:cs="Calibri" w:eastAsia="Calibri" w:hAnsi="Calibri"/>
                <w:i/>
                <w:iCs/>
                <w:color w:val="F3F4F6"/>
                <w:sz w:val="24"/>
                <w:szCs w:val="24"/>
              </w:rPr>
              <w:t xml:space="preserve">A Reference for Original Buyers and Their Advocates</w:t>
            </w:r>
          </w:p>
        </w:tc>
      </w:tr>
    </w:tbl>
    <w:p>
      <w:pPr>
        <w:spacing w:before="800"/>
      </w:pPr>
      <w:r>
        <w:t xml:space="preserve"/>
      </w:r>
    </w:p>
    <w:p>
      <w:pPr>
        <w:jc w:val="center"/>
      </w:pPr>
      <w:r>
        <w:rPr>
          <w:rFonts w:ascii="Calibri" w:cs="Calibri" w:eastAsia="Calibri" w:hAnsi="Calibri"/>
          <w:i/>
          <w:iCs/>
          <w:color w:val="374151"/>
          <w:sz w:val="22"/>
          <w:szCs w:val="22"/>
        </w:rPr>
        <w:t xml:space="preserve">General reference for Kentucky homeowners and real estate professionals.</w:t>
      </w:r>
    </w:p>
    <w:p>
      <w:pPr>
        <w:spacing w:before="100"/>
        <w:jc w:val="center"/>
      </w:pPr>
      <w:r>
        <w:rPr>
          <w:rFonts w:ascii="Calibri" w:cs="Calibri" w:eastAsia="Calibri" w:hAnsi="Calibri"/>
          <w:i/>
          <w:iCs/>
          <w:color w:val="6B7280"/>
          <w:sz w:val="22"/>
          <w:szCs w:val="22"/>
        </w:rPr>
        <w:t xml:space="preserve">Not legal advice.</w:t>
      </w:r>
    </w:p>
    <w:p>
      <w:r>
        <w:br w:type="page"/>
      </w:r>
    </w:p>
    <w:p>
      <w:pPr>
        <w:pStyle w:val="Heading1"/>
        <w:spacing w:after="200" w:before="360"/>
      </w:pPr>
      <w:r>
        <w:rPr>
          <w:rFonts w:ascii="Calibri" w:cs="Calibri" w:eastAsia="Calibri" w:hAnsi="Calibri"/>
          <w:b/>
          <w:bCs/>
          <w:color w:val="1F2937"/>
          <w:sz w:val="32"/>
          <w:szCs w:val="32"/>
        </w:rPr>
        <w:t xml:space="preserve">Executive Summary</w:t>
      </w:r>
    </w:p>
    <w:p>
      <w:pPr>
        <w:spacing w:after="120"/>
        <w:jc w:val="left"/>
      </w:pPr>
      <w:r>
        <w:rPr>
          <w:rFonts w:ascii="Calibri" w:cs="Calibri" w:eastAsia="Calibri" w:hAnsi="Calibri"/>
          <w:b w:val="false"/>
          <w:bCs w:val="false"/>
          <w:i w:val="false"/>
          <w:iCs w:val="false"/>
          <w:color w:val="111827"/>
          <w:sz w:val="22"/>
          <w:szCs w:val="22"/>
        </w:rPr>
        <w:t xml:space="preserve">This reference summarizes the Kentucky statutes, case law, and procedural channels relevant when an original buyer of a newly built home in Kentucky discovers construction defects and the builder did not provide a written warranty. It is intended as a general reference and is not a substitute for licensed Kentucky legal counsel.</w:t>
      </w:r>
    </w:p>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The bottom line</w:t>
            </w:r>
          </w:p>
          <w:p>
            <w:pPr>
              <w:spacing w:after="60"/>
            </w:pPr>
            <w:r>
              <w:rPr>
                <w:rFonts w:ascii="Calibri" w:cs="Calibri" w:eastAsia="Calibri" w:hAnsi="Calibri"/>
                <w:color w:val="111827"/>
                <w:sz w:val="21"/>
                <w:szCs w:val="21"/>
              </w:rPr>
              <w:t xml:space="preserve">1.  Kentucky imposes a common-law implied warranty on every newly built home sold by a builder-vendor to the original buyer. No written warranty is required for the implied warranty to apply (Crawley v. Terhune, 437 S.W.2d 743 (Ky. 1969)).</w:t>
            </w:r>
          </w:p>
          <w:p>
            <w:pPr>
              <w:spacing w:after="60"/>
            </w:pPr>
            <w:r>
              <w:rPr>
                <w:rFonts w:ascii="Calibri" w:cs="Calibri" w:eastAsia="Calibri" w:hAnsi="Calibri"/>
                <w:color w:val="111827"/>
                <w:sz w:val="21"/>
                <w:szCs w:val="21"/>
              </w:rPr>
              <w:t xml:space="preserve">2.  A homeowner generally has 5 years from breach (or discovery, for latent defects) to file suit, capped by a 7-year statute of repose running from substantial completion (KRS 413.120; KRS 413.135).</w:t>
            </w:r>
          </w:p>
          <w:p>
            <w:pPr>
              <w:spacing w:after="60"/>
            </w:pPr>
            <w:r>
              <w:rPr>
                <w:rFonts w:ascii="Calibri" w:cs="Calibri" w:eastAsia="Calibri" w:hAnsi="Calibri"/>
                <w:color w:val="111827"/>
                <w:sz w:val="21"/>
                <w:szCs w:val="21"/>
              </w:rPr>
              <w:t xml:space="preserve">3.  Before filing suit, the homeowner must give the builder written notice and a 21-day opportunity to respond under the Kentucky Notice and Opportunity to Repair Act, KRS 411.250–411.266.</w:t>
            </w:r>
          </w:p>
          <w:p>
            <w:pPr>
              <w:spacing w:after="60"/>
            </w:pPr>
            <w:r>
              <w:rPr>
                <w:rFonts w:ascii="Calibri" w:cs="Calibri" w:eastAsia="Calibri" w:hAnsi="Calibri"/>
                <w:color w:val="111827"/>
                <w:sz w:val="21"/>
                <w:szCs w:val="21"/>
              </w:rPr>
              <w:t xml:space="preserve">4.  Reputable demand letters are sent by certified mail, return receipt requested, and reference the implied warranty and the Right-to-Cure statute by name.</w:t>
            </w:r>
          </w:p>
        </w:tc>
      </w:tr>
    </w:tbl>
    <w:p>
      <w:pPr>
        <w:spacing w:after="160"/>
      </w:pPr>
      <w:r>
        <w:t xml:space="preserve"> </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1. The Implied Warranty — What It Is and Who It Covers</w:t>
            </w:r>
          </w:p>
        </w:tc>
      </w:tr>
    </w:tbl>
    <w:p>
      <w:pPr>
        <w:spacing w:after="160"/>
      </w:pPr>
      <w:r>
        <w:t xml:space="preserve"> </w:t>
      </w:r>
    </w:p>
    <w:p>
      <w:pPr>
        <w:pStyle w:val="Heading2"/>
        <w:spacing w:after="140" w:before="280"/>
      </w:pPr>
      <w:r>
        <w:rPr>
          <w:rFonts w:ascii="Calibri" w:cs="Calibri" w:eastAsia="Calibri" w:hAnsi="Calibri"/>
          <w:b/>
          <w:bCs/>
          <w:color w:val="374151"/>
          <w:sz w:val="26"/>
          <w:szCs w:val="26"/>
        </w:rPr>
        <w:t xml:space="preserve">Foundational Case Law</w:t>
      </w:r>
    </w:p>
    <w:p>
      <w:pPr>
        <w:spacing w:after="100" w:before="200"/>
      </w:pPr>
      <w:r>
        <w:rPr>
          <w:rFonts w:ascii="Calibri" w:cs="Calibri" w:eastAsia="Calibri" w:hAnsi="Calibri"/>
          <w:b/>
          <w:bCs/>
          <w:color w:val="1F2937"/>
          <w:sz w:val="23"/>
          <w:szCs w:val="23"/>
        </w:rPr>
        <w:t xml:space="preserve">Crawley v. Terhune, 437 S.W.2d 743 (Ky. 1969)</w:t>
      </w:r>
    </w:p>
    <w:p>
      <w:pPr>
        <w:spacing w:after="120"/>
        <w:jc w:val="left"/>
      </w:pPr>
      <w:r>
        <w:rPr>
          <w:rFonts w:ascii="Calibri" w:cs="Calibri" w:eastAsia="Calibri" w:hAnsi="Calibri"/>
          <w:b w:val="false"/>
          <w:bCs w:val="false"/>
          <w:i w:val="false"/>
          <w:iCs w:val="false"/>
          <w:color w:val="111827"/>
          <w:sz w:val="22"/>
          <w:szCs w:val="22"/>
        </w:rPr>
        <w:t xml:space="preserve">Kentucky's seminal new-home warranty case. The Terhunes bought a newly built house from Crawley, the builder-owner; rainwater leaked into the basement. The court carved out an exception to caveat emptor and held that “in the sale of a new dwelling by the builder there is an implied warranty that in its major structural features the dwelling was constructed in a workmanlike manner and using suitable materials.” Every later Kentucky opinion in this space builds on Crawley.</w:t>
      </w:r>
    </w:p>
    <w:p>
      <w:pPr>
        <w:spacing w:after="100" w:before="200"/>
      </w:pPr>
      <w:r>
        <w:rPr>
          <w:rFonts w:ascii="Calibri" w:cs="Calibri" w:eastAsia="Calibri" w:hAnsi="Calibri"/>
          <w:b/>
          <w:bCs/>
          <w:color w:val="1F2937"/>
          <w:sz w:val="23"/>
          <w:szCs w:val="23"/>
        </w:rPr>
        <w:t xml:space="preserve">Real Estate Marketing, Inc. v. Franz, 885 S.W.2d 921 (Ky. 1994)</w:t>
      </w:r>
    </w:p>
    <w:p>
      <w:pPr>
        <w:spacing w:after="120"/>
        <w:jc w:val="left"/>
      </w:pPr>
      <w:r>
        <w:rPr>
          <w:rFonts w:ascii="Calibri" w:cs="Calibri" w:eastAsia="Calibri" w:hAnsi="Calibri"/>
          <w:b w:val="false"/>
          <w:bCs w:val="false"/>
          <w:i w:val="false"/>
          <w:iCs w:val="false"/>
          <w:color w:val="111827"/>
          <w:sz w:val="22"/>
          <w:szCs w:val="22"/>
        </w:rPr>
        <w:t xml:space="preserve">Kentucky Supreme Court extended the Crawley warranty to subsequent purchasers for latent defects, holding lack of privity does not bar suit against the original builder. Important here because it reconfirms Crawley as settled doctrine — an original buyer is plainly covered.</w:t>
      </w:r>
    </w:p>
    <w:p>
      <w:pPr>
        <w:spacing w:after="100" w:before="200"/>
      </w:pPr>
      <w:r>
        <w:rPr>
          <w:rFonts w:ascii="Calibri" w:cs="Calibri" w:eastAsia="Calibri" w:hAnsi="Calibri"/>
          <w:b/>
          <w:bCs/>
          <w:color w:val="1F2937"/>
          <w:sz w:val="23"/>
          <w:szCs w:val="23"/>
        </w:rPr>
        <w:t xml:space="preserve">Miller v. Hutson, 281 S.W.3d 791 (Ky. 2009)</w:t>
      </w:r>
    </w:p>
    <w:p>
      <w:pPr>
        <w:spacing w:after="120"/>
        <w:jc w:val="left"/>
      </w:pPr>
      <w:r>
        <w:rPr>
          <w:rFonts w:ascii="Calibri" w:cs="Calibri" w:eastAsia="Calibri" w:hAnsi="Calibri"/>
          <w:b w:val="false"/>
          <w:bCs w:val="false"/>
          <w:i w:val="false"/>
          <w:iCs w:val="false"/>
          <w:color w:val="111827"/>
          <w:sz w:val="22"/>
          <w:szCs w:val="22"/>
        </w:rPr>
        <w:t xml:space="preserve">Kentucky Supreme Court extended Crawley to developer-vendors who hired the actual builder, holding the developer is a “warrantor.” Confirms the warranty travels with the new-home transaction itself, not the seller's job title.</w:t>
      </w:r>
    </w:p>
    <w:p>
      <w:pPr>
        <w:spacing w:after="100" w:before="200"/>
      </w:pPr>
      <w:r>
        <w:rPr>
          <w:rFonts w:ascii="Calibri" w:cs="Calibri" w:eastAsia="Calibri" w:hAnsi="Calibri"/>
          <w:b/>
          <w:bCs/>
          <w:color w:val="1F2937"/>
          <w:sz w:val="23"/>
          <w:szCs w:val="23"/>
        </w:rPr>
        <w:t xml:space="preserve">Pippin v. Owensboro Master Builder, Inc. (Ky. Ct. App. 2018) — unpublished</w:t>
      </w:r>
    </w:p>
    <w:p>
      <w:pPr>
        <w:spacing w:after="120"/>
        <w:jc w:val="left"/>
      </w:pPr>
      <w:r>
        <w:rPr>
          <w:rFonts w:ascii="Calibri" w:cs="Calibri" w:eastAsia="Calibri" w:hAnsi="Calibri"/>
          <w:b w:val="false"/>
          <w:bCs w:val="false"/>
          <w:i w:val="false"/>
          <w:iCs w:val="false"/>
          <w:color w:val="111827"/>
          <w:sz w:val="22"/>
          <w:szCs w:val="22"/>
        </w:rPr>
        <w:t xml:space="preserve">A recent disclaimer-fight illustration: buyers contested a preprinted limited warranty purporting to disclaim implied warranties. Illustrative only; not citable as binding precedent.</w:t>
      </w:r>
    </w:p>
    <w:p>
      <w:pPr>
        <w:pStyle w:val="Heading2"/>
        <w:spacing w:after="140" w:before="280"/>
      </w:pPr>
      <w:r>
        <w:rPr>
          <w:rFonts w:ascii="Calibri" w:cs="Calibri" w:eastAsia="Calibri" w:hAnsi="Calibri"/>
          <w:b/>
          <w:bCs/>
          <w:color w:val="374151"/>
          <w:sz w:val="26"/>
          <w:szCs w:val="26"/>
        </w:rPr>
        <w:t xml:space="preserve">Scope of the Warranty</w:t>
      </w:r>
    </w:p>
    <w:p>
      <w:pPr>
        <w:spacing w:after="120"/>
        <w:jc w:val="left"/>
      </w:pPr>
      <w:r>
        <w:rPr>
          <w:rFonts w:ascii="Calibri" w:cs="Calibri" w:eastAsia="Calibri" w:hAnsi="Calibri"/>
          <w:b/>
          <w:bCs/>
          <w:i w:val="false"/>
          <w:iCs w:val="false"/>
          <w:color w:val="111827"/>
          <w:sz w:val="22"/>
          <w:szCs w:val="22"/>
        </w:rPr>
        <w:t xml:space="preserve">Covered:</w:t>
      </w:r>
    </w:p>
    <w:p>
      <w:pPr>
        <w:pStyle w:val="ListParagraph"/>
        <w:numPr>
          <w:ilvl w:val="0"/>
          <w:numId w:val="2"/>
        </w:numPr>
        <w:spacing w:after="80"/>
      </w:pPr>
      <w:r>
        <w:rPr>
          <w:rFonts w:ascii="Calibri" w:cs="Calibri" w:eastAsia="Calibri" w:hAnsi="Calibri"/>
          <w:color w:val="111827"/>
          <w:sz w:val="22"/>
          <w:szCs w:val="22"/>
        </w:rPr>
        <w:t xml:space="preserve">Major structural features (foundation, framing, roof system)</w:t>
      </w:r>
    </w:p>
    <w:p>
      <w:pPr>
        <w:pStyle w:val="ListParagraph"/>
        <w:numPr>
          <w:ilvl w:val="0"/>
          <w:numId w:val="2"/>
        </w:numPr>
        <w:spacing w:after="80"/>
      </w:pPr>
      <w:r>
        <w:rPr>
          <w:rFonts w:ascii="Calibri" w:cs="Calibri" w:eastAsia="Calibri" w:hAnsi="Calibri"/>
          <w:color w:val="111827"/>
          <w:sz w:val="22"/>
          <w:szCs w:val="22"/>
        </w:rPr>
        <w:t xml:space="preserve">Workmanlike construction and suitable materials</w:t>
      </w:r>
    </w:p>
    <w:p>
      <w:pPr>
        <w:pStyle w:val="ListParagraph"/>
        <w:numPr>
          <w:ilvl w:val="0"/>
          <w:numId w:val="2"/>
        </w:numPr>
        <w:spacing w:after="80"/>
      </w:pPr>
      <w:r>
        <w:rPr>
          <w:rFonts w:ascii="Calibri" w:cs="Calibri" w:eastAsia="Calibri" w:hAnsi="Calibri"/>
          <w:color w:val="111827"/>
          <w:sz w:val="22"/>
          <w:szCs w:val="22"/>
        </w:rPr>
        <w:t xml:space="preserve">Fitness for habitation (water intrusion, code-defective work)</w:t>
      </w:r>
    </w:p>
    <w:p>
      <w:pPr>
        <w:pStyle w:val="ListParagraph"/>
        <w:numPr>
          <w:ilvl w:val="0"/>
          <w:numId w:val="2"/>
        </w:numPr>
        <w:spacing w:after="80"/>
      </w:pPr>
      <w:r>
        <w:rPr>
          <w:rFonts w:ascii="Calibri" w:cs="Calibri" w:eastAsia="Calibri" w:hAnsi="Calibri"/>
          <w:color w:val="111827"/>
          <w:sz w:val="22"/>
          <w:szCs w:val="22"/>
        </w:rPr>
        <w:t xml:space="preserve">Latent defects not discoverable on reasonable inspection at closing</w:t>
      </w:r>
    </w:p>
    <w:p>
      <w:pPr>
        <w:pStyle w:val="ListParagraph"/>
        <w:numPr>
          <w:ilvl w:val="0"/>
          <w:numId w:val="2"/>
        </w:numPr>
        <w:spacing w:after="80"/>
      </w:pPr>
      <w:r>
        <w:rPr>
          <w:rFonts w:ascii="Calibri" w:cs="Calibri" w:eastAsia="Calibri" w:hAnsi="Calibri"/>
          <w:color w:val="111827"/>
          <w:sz w:val="22"/>
          <w:szCs w:val="22"/>
        </w:rPr>
        <w:t xml:space="preserve">Major mechanical systems (HVAC, plumbing, electrical) where defect is latent and goes to habitability or structural integrity</w:t>
      </w:r>
    </w:p>
    <w:p>
      <w:pPr>
        <w:spacing w:after="120"/>
        <w:jc w:val="left"/>
      </w:pPr>
      <w:r>
        <w:rPr>
          <w:rFonts w:ascii="Calibri" w:cs="Calibri" w:eastAsia="Calibri" w:hAnsi="Calibri"/>
          <w:b/>
          <w:bCs/>
          <w:i w:val="false"/>
          <w:iCs w:val="false"/>
          <w:color w:val="111827"/>
          <w:sz w:val="22"/>
          <w:szCs w:val="22"/>
        </w:rPr>
        <w:t xml:space="preserve">Not covered:</w:t>
      </w:r>
    </w:p>
    <w:p>
      <w:pPr>
        <w:pStyle w:val="ListParagraph"/>
        <w:numPr>
          <w:ilvl w:val="0"/>
          <w:numId w:val="2"/>
        </w:numPr>
        <w:spacing w:after="80"/>
      </w:pPr>
      <w:r>
        <w:rPr>
          <w:rFonts w:ascii="Calibri" w:cs="Calibri" w:eastAsia="Calibri" w:hAnsi="Calibri"/>
          <w:color w:val="111827"/>
          <w:sz w:val="22"/>
          <w:szCs w:val="22"/>
        </w:rPr>
        <w:t xml:space="preserve">Cosmetic items, ordinary wear and tear</w:t>
      </w:r>
    </w:p>
    <w:p>
      <w:pPr>
        <w:pStyle w:val="ListParagraph"/>
        <w:numPr>
          <w:ilvl w:val="0"/>
          <w:numId w:val="2"/>
        </w:numPr>
        <w:spacing w:after="80"/>
      </w:pPr>
      <w:r>
        <w:rPr>
          <w:rFonts w:ascii="Calibri" w:cs="Calibri" w:eastAsia="Calibri" w:hAnsi="Calibri"/>
          <w:color w:val="111827"/>
          <w:sz w:val="22"/>
          <w:szCs w:val="22"/>
        </w:rPr>
        <w:t xml:space="preserve">Owner- or third-party-caused damage</w:t>
      </w:r>
    </w:p>
    <w:p>
      <w:pPr>
        <w:pStyle w:val="ListParagraph"/>
        <w:numPr>
          <w:ilvl w:val="0"/>
          <w:numId w:val="2"/>
        </w:numPr>
        <w:spacing w:after="80"/>
      </w:pPr>
      <w:r>
        <w:rPr>
          <w:rFonts w:ascii="Calibri" w:cs="Calibri" w:eastAsia="Calibri" w:hAnsi="Calibri"/>
          <w:color w:val="111827"/>
          <w:sz w:val="22"/>
          <w:szCs w:val="22"/>
        </w:rPr>
        <w:t xml:space="preserve">Conditions the buyer knew about and accepted at closing</w:t>
      </w:r>
    </w:p>
    <w:p>
      <w:pPr>
        <w:pStyle w:val="Heading2"/>
        <w:spacing w:after="140" w:before="280"/>
      </w:pPr>
      <w:r>
        <w:rPr>
          <w:rFonts w:ascii="Calibri" w:cs="Calibri" w:eastAsia="Calibri" w:hAnsi="Calibri"/>
          <w:b/>
          <w:bCs/>
          <w:color w:val="374151"/>
          <w:sz w:val="26"/>
          <w:szCs w:val="26"/>
        </w:rPr>
        <w:t xml:space="preserve">Disclaimer, Waiver, and “As-Is”</w:t>
      </w:r>
    </w:p>
    <w:p>
      <w:pPr>
        <w:pStyle w:val="ListParagraph"/>
        <w:numPr>
          <w:ilvl w:val="0"/>
          <w:numId w:val="2"/>
        </w:numPr>
        <w:spacing w:after="80"/>
      </w:pPr>
      <w:r>
        <w:rPr>
          <w:rFonts w:ascii="Calibri" w:cs="Calibri" w:eastAsia="Calibri" w:hAnsi="Calibri"/>
          <w:color w:val="111827"/>
          <w:sz w:val="22"/>
          <w:szCs w:val="22"/>
        </w:rPr>
        <w:t xml:space="preserve">Silence by the builder (no written warranty) does not defeat the implied warranty. There is nothing to disclaim — the implied warranty is the default.</w:t>
      </w:r>
    </w:p>
    <w:p>
      <w:pPr>
        <w:pStyle w:val="ListParagraph"/>
        <w:numPr>
          <w:ilvl w:val="0"/>
          <w:numId w:val="2"/>
        </w:numPr>
        <w:spacing w:after="80"/>
      </w:pPr>
      <w:r>
        <w:rPr>
          <w:rFonts w:ascii="Calibri" w:cs="Calibri" w:eastAsia="Calibri" w:hAnsi="Calibri"/>
          <w:color w:val="111827"/>
          <w:sz w:val="22"/>
          <w:szCs w:val="22"/>
        </w:rPr>
        <w:t xml:space="preserve">Express disclaimers are scrutinized for clarity and conspicuousness. Boilerplate “as-is” language buried in a preprinted form is vulnerable.</w:t>
      </w:r>
    </w:p>
    <w:p>
      <w:pPr>
        <w:pStyle w:val="ListParagraph"/>
        <w:numPr>
          <w:ilvl w:val="0"/>
          <w:numId w:val="2"/>
        </w:numPr>
        <w:spacing w:after="80"/>
      </w:pPr>
      <w:r>
        <w:rPr>
          <w:rFonts w:ascii="Calibri" w:cs="Calibri" w:eastAsia="Calibri" w:hAnsi="Calibri"/>
          <w:color w:val="111827"/>
          <w:sz w:val="22"/>
          <w:szCs w:val="22"/>
        </w:rPr>
        <w:t xml:space="preserve">No published Kentucky Supreme Court opinion squarely holds the implied warranty fully unwaivable, but courts are protective of new-home buyers.</w:t>
      </w:r>
    </w:p>
    <w:p>
      <w:pPr>
        <w:pStyle w:val="Heading2"/>
        <w:spacing w:after="140" w:before="280"/>
      </w:pPr>
      <w:r>
        <w:rPr>
          <w:rFonts w:ascii="Calibri" w:cs="Calibri" w:eastAsia="Calibri" w:hAnsi="Calibri"/>
          <w:b/>
          <w:bCs/>
          <w:color w:val="374151"/>
          <w:sz w:val="26"/>
          <w:szCs w:val="26"/>
        </w:rPr>
        <w:t xml:space="preserve">Remedies</w:t>
      </w:r>
    </w:p>
    <w:p>
      <w:pPr>
        <w:pStyle w:val="ListParagraph"/>
        <w:numPr>
          <w:ilvl w:val="0"/>
          <w:numId w:val="2"/>
        </w:numPr>
        <w:spacing w:after="80"/>
      </w:pPr>
      <w:r>
        <w:rPr>
          <w:rFonts w:ascii="Calibri" w:cs="Calibri" w:eastAsia="Calibri" w:hAnsi="Calibri"/>
          <w:color w:val="111827"/>
          <w:sz w:val="22"/>
          <w:szCs w:val="22"/>
        </w:rPr>
        <w:t xml:space="preserve">Cost of repair (dominant measure when repair is feasible)</w:t>
      </w:r>
    </w:p>
    <w:p>
      <w:pPr>
        <w:pStyle w:val="ListParagraph"/>
        <w:numPr>
          <w:ilvl w:val="0"/>
          <w:numId w:val="2"/>
        </w:numPr>
        <w:spacing w:after="80"/>
      </w:pPr>
      <w:r>
        <w:rPr>
          <w:rFonts w:ascii="Calibri" w:cs="Calibri" w:eastAsia="Calibri" w:hAnsi="Calibri"/>
          <w:color w:val="111827"/>
          <w:sz w:val="22"/>
          <w:szCs w:val="22"/>
        </w:rPr>
        <w:t xml:space="preserve">Diminution in fair market value (alternative measure)</w:t>
      </w:r>
    </w:p>
    <w:p>
      <w:pPr>
        <w:pStyle w:val="ListParagraph"/>
        <w:numPr>
          <w:ilvl w:val="0"/>
          <w:numId w:val="2"/>
        </w:numPr>
        <w:spacing w:after="80"/>
      </w:pPr>
      <w:r>
        <w:rPr>
          <w:rFonts w:ascii="Calibri" w:cs="Calibri" w:eastAsia="Calibri" w:hAnsi="Calibri"/>
          <w:color w:val="111827"/>
          <w:sz w:val="22"/>
          <w:szCs w:val="22"/>
        </w:rPr>
        <w:t xml:space="preserve">Consequential damages (temporary housing, damaged personal property)</w:t>
      </w:r>
    </w:p>
    <w:p>
      <w:pPr>
        <w:pStyle w:val="ListParagraph"/>
        <w:numPr>
          <w:ilvl w:val="0"/>
          <w:numId w:val="2"/>
        </w:numPr>
        <w:spacing w:after="80"/>
      </w:pPr>
      <w:r>
        <w:rPr>
          <w:rFonts w:ascii="Calibri" w:cs="Calibri" w:eastAsia="Calibri" w:hAnsi="Calibri"/>
          <w:color w:val="111827"/>
          <w:sz w:val="22"/>
          <w:szCs w:val="22"/>
        </w:rPr>
        <w:t xml:space="preserve">Incidental damages (out-of-pocket costs addressing the breach)</w:t>
      </w:r>
    </w:p>
    <w:p>
      <w:pPr>
        <w:pStyle w:val="ListParagraph"/>
        <w:numPr>
          <w:ilvl w:val="0"/>
          <w:numId w:val="2"/>
        </w:numPr>
        <w:spacing w:after="80"/>
      </w:pPr>
      <w:r>
        <w:rPr>
          <w:rFonts w:ascii="Calibri" w:cs="Calibri" w:eastAsia="Calibri" w:hAnsi="Calibri"/>
          <w:color w:val="111827"/>
          <w:sz w:val="22"/>
          <w:szCs w:val="22"/>
        </w:rPr>
        <w:t xml:space="preserve">Attorney's fees: not recoverable under common-law implied warranty alone (Kentucky follows the American Rule). Fees become available only under a fee-shifting statute or contract clause.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2. Time Limits — Statute of Limitations and Repose</w:t>
            </w:r>
          </w:p>
        </w:tc>
      </w:tr>
    </w:tbl>
    <w:p>
      <w:pPr>
        <w:spacing w:after="160"/>
      </w:pPr>
      <w:r>
        <w:t xml:space="preserve"> </w:t>
      </w:r>
    </w:p>
    <w:p>
      <w:pPr>
        <w:pStyle w:val="Heading2"/>
        <w:spacing w:after="140" w:before="280"/>
      </w:pPr>
      <w:r>
        <w:rPr>
          <w:rFonts w:ascii="Calibri" w:cs="Calibri" w:eastAsia="Calibri" w:hAnsi="Calibri"/>
          <w:b/>
          <w:bCs/>
          <w:color w:val="374151"/>
          <w:sz w:val="26"/>
          <w:szCs w:val="26"/>
        </w:rPr>
        <w:t xml:space="preserve">Statute of Limitations: 5 Years</w:t>
      </w:r>
    </w:p>
    <w:p>
      <w:pPr>
        <w:spacing w:after="120"/>
        <w:jc w:val="left"/>
      </w:pPr>
      <w:r>
        <w:rPr>
          <w:rFonts w:ascii="Calibri" w:cs="Calibri" w:eastAsia="Calibri" w:hAnsi="Calibri"/>
          <w:b/>
          <w:bCs/>
          <w:i w:val="false"/>
          <w:iCs w:val="false"/>
          <w:color w:val="111827"/>
          <w:sz w:val="22"/>
          <w:szCs w:val="22"/>
        </w:rPr>
        <w:t xml:space="preserve">KRS 413.120(1) </w:t>
      </w:r>
      <w:r>
        <w:rPr>
          <w:rFonts w:ascii="Calibri" w:cs="Calibri" w:eastAsia="Calibri" w:hAnsi="Calibri"/>
          <w:b w:val="false"/>
          <w:bCs w:val="false"/>
          <w:i w:val="false"/>
          <w:iCs w:val="false"/>
          <w:color w:val="111827"/>
          <w:sz w:val="22"/>
          <w:szCs w:val="22"/>
        </w:rPr>
        <w:t xml:space="preserve">applies a five-year limitations period to “an action upon a contract not in writing, express or implied,” which is the period practitioners apply to implied-warranty claims against builders. KRS 355.2-725 (UCC 4-year) does not apply because real property is not goods. KRS 413.160 governs </w:t>
      </w:r>
      <w:r>
        <w:rPr>
          <w:rFonts w:ascii="Calibri" w:cs="Calibri" w:eastAsia="Calibri" w:hAnsi="Calibri"/>
          <w:b w:val="false"/>
          <w:bCs w:val="false"/>
          <w:i/>
          <w:iCs/>
          <w:color w:val="111827"/>
          <w:sz w:val="22"/>
          <w:szCs w:val="22"/>
        </w:rPr>
        <w:t xml:space="preserve">written </w:t>
      </w:r>
      <w:r>
        <w:rPr>
          <w:rFonts w:ascii="Calibri" w:cs="Calibri" w:eastAsia="Calibri" w:hAnsi="Calibri"/>
          <w:b w:val="false"/>
          <w:bCs w:val="false"/>
          <w:i w:val="false"/>
          <w:iCs w:val="false"/>
          <w:color w:val="111827"/>
          <w:sz w:val="22"/>
          <w:szCs w:val="22"/>
        </w:rPr>
        <w:t xml:space="preserve">contracts and does not apply where the implied warranty is the theory.</w:t>
      </w:r>
    </w:p>
    <w:p>
      <w:pPr>
        <w:pStyle w:val="Heading2"/>
        <w:spacing w:after="140" w:before="280"/>
      </w:pPr>
      <w:r>
        <w:rPr>
          <w:rFonts w:ascii="Calibri" w:cs="Calibri" w:eastAsia="Calibri" w:hAnsi="Calibri"/>
          <w:b/>
          <w:bCs/>
          <w:color w:val="374151"/>
          <w:sz w:val="26"/>
          <w:szCs w:val="26"/>
        </w:rPr>
        <w:t xml:space="preserve">Accrual: Breach vs. Discovery</w:t>
      </w:r>
    </w:p>
    <w:p>
      <w:pPr>
        <w:spacing w:after="120"/>
        <w:jc w:val="left"/>
      </w:pPr>
      <w:r>
        <w:rPr>
          <w:rFonts w:ascii="Calibri" w:cs="Calibri" w:eastAsia="Calibri" w:hAnsi="Calibri"/>
          <w:b w:val="false"/>
          <w:bCs w:val="false"/>
          <w:i w:val="false"/>
          <w:iCs w:val="false"/>
          <w:color w:val="111827"/>
          <w:sz w:val="22"/>
          <w:szCs w:val="22"/>
        </w:rPr>
        <w:t xml:space="preserve">General rule: a contract action accrues on breach. The Kentucky Supreme Court in Fluke Corp. v. LeMaster, 306 S.W.3d 55 (Ky. 2010) reaffirmed the discovery rule applies narrowly to latent defects — those “not immediately evident or discoverable with the exercise of reasonable diligence.” Patent / obvious defects accrue at substantial completion or closing; latent defects accrue at discovery.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Practical posture</w:t>
            </w:r>
          </w:p>
          <w:p>
            <w:pPr>
              <w:spacing w:after="60"/>
            </w:pPr>
            <w:r>
              <w:rPr>
                <w:rFonts w:ascii="Calibri" w:cs="Calibri" w:eastAsia="Calibri" w:hAnsi="Calibri"/>
                <w:color w:val="111827"/>
                <w:sz w:val="21"/>
                <w:szCs w:val="21"/>
              </w:rPr>
              <w:t xml:space="preserve">Treat the closing date as the conservative trigger.</w:t>
            </w:r>
          </w:p>
          <w:p>
            <w:pPr>
              <w:spacing w:after="60"/>
            </w:pPr>
            <w:r>
              <w:rPr>
                <w:rFonts w:ascii="Calibri" w:cs="Calibri" w:eastAsia="Calibri" w:hAnsi="Calibri"/>
                <w:color w:val="111827"/>
                <w:sz w:val="21"/>
                <w:szCs w:val="21"/>
              </w:rPr>
              <w:t xml:space="preserve">Treat the discovery date as the outer trigger.</w:t>
            </w:r>
          </w:p>
          <w:p>
            <w:pPr>
              <w:spacing w:after="60"/>
            </w:pPr>
            <w:r>
              <w:rPr>
                <w:rFonts w:ascii="Calibri" w:cs="Calibri" w:eastAsia="Calibri" w:hAnsi="Calibri"/>
                <w:color w:val="111827"/>
                <w:sz w:val="21"/>
                <w:szCs w:val="21"/>
              </w:rPr>
              <w:t xml:space="preserve">Do not rely on the discovery rule unless the defect is genuinely hidden.</w:t>
            </w:r>
          </w:p>
        </w:tc>
      </w:tr>
    </w:tbl>
    <w:p>
      <w:pPr>
        <w:pStyle w:val="Heading2"/>
        <w:spacing w:after="140" w:before="280"/>
      </w:pPr>
      <w:r>
        <w:rPr>
          <w:rFonts w:ascii="Calibri" w:cs="Calibri" w:eastAsia="Calibri" w:hAnsi="Calibri"/>
          <w:b/>
          <w:bCs/>
          <w:color w:val="374151"/>
          <w:sz w:val="26"/>
          <w:szCs w:val="26"/>
        </w:rPr>
        <w:t xml:space="preserve">Statute of Repose: 7 Years</w:t>
      </w:r>
    </w:p>
    <w:p>
      <w:pPr>
        <w:spacing w:after="120"/>
        <w:jc w:val="left"/>
      </w:pPr>
      <w:r>
        <w:rPr>
          <w:rFonts w:ascii="Calibri" w:cs="Calibri" w:eastAsia="Calibri" w:hAnsi="Calibri"/>
          <w:b w:val="false"/>
          <w:bCs w:val="false"/>
          <w:i w:val="false"/>
          <w:iCs w:val="false"/>
          <w:color w:val="111827"/>
          <w:sz w:val="22"/>
          <w:szCs w:val="22"/>
        </w:rPr>
        <w:t xml:space="preserve">KRS 413.135 imposes a 7-year statute of repose running from substantial completion of the improvement. If the injury occurs in the 7th year, suit may be brought up to 8 years out. The statute applies to claims “whether based upon contract or sounding in tort” arising from deficiency in design, planning, supervision, inspection, or construction.</w:t>
      </w:r>
    </w:p>
    <w:p>
      <w:pPr>
        <w:spacing w:after="120"/>
        <w:jc w:val="left"/>
      </w:pPr>
      <w:r>
        <w:rPr>
          <w:rFonts w:ascii="Calibri" w:cs="Calibri" w:eastAsia="Calibri" w:hAnsi="Calibri"/>
          <w:b w:val="false"/>
          <w:bCs w:val="false"/>
          <w:i w:val="false"/>
          <w:iCs w:val="false"/>
          <w:color w:val="111827"/>
          <w:sz w:val="22"/>
          <w:szCs w:val="22"/>
        </w:rPr>
        <w:t xml:space="preserve">Constitutional caveat: The earlier 5-year version of KRS 413.135 was struck down in Tabler v. Wallace, 704 S.W.2d 179 (Ky. 1985), and a 1986 amendment was invalidated (Perkins v. Northeastern Log Homes, 808 S.W.2d 809 (Ky. 1991)). The current 7-year version has not been squarely overturned but its constitutionality remains questioned. Equitable estoppel and fraudulent concealment may toll under general principles.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3. Mandatory Pre-Suit Notice — The Right to Cure Act</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Kentucky's Notice and Opportunity to Repair Act (“NORA”) is codified at KRS 411.250–411.266 and is mandatory for residential construction defect claims. Skipping it can get a lawsuit stayed or dismissed.</w:t>
      </w:r>
    </w:p>
    <w:p>
      <w:pPr>
        <w:pStyle w:val="Heading2"/>
        <w:spacing w:after="140" w:before="280"/>
      </w:pPr>
      <w:r>
        <w:rPr>
          <w:rFonts w:ascii="Calibri" w:cs="Calibri" w:eastAsia="Calibri" w:hAnsi="Calibri"/>
          <w:b/>
          <w:bCs/>
          <w:color w:val="374151"/>
          <w:sz w:val="26"/>
          <w:szCs w:val="26"/>
        </w:rPr>
        <w:t xml:space="preserve">Key Mechanics of KRS 411.260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Step</w:t>
            </w:r>
          </w:p>
        </w:tc>
        <w:tc>
          <w:tcPr>
            <w:tcW w:type="dxa" w:w="636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What Happens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Homeowner serves notice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Written notice describing each alleged defect in reasonable detail, served on the construction professional.</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response window</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21 days after service to respond in writing (by registered mail or personal service).</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options</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(a) Offer to inspect, (b) offer to settle without inspection, or (c) dispute the claim.</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Homeowner's response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30 days to accept or reject any inspection or settlement proposal.</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Tolling</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Statute of limitations and repose are tolled during the notice-and-cure process.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Consequence of skipping</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Court will stay or dismiss the action until the process is followed.</w:t>
            </w:r>
          </w:p>
        </w:tc>
      </w:tr>
    </w:tbl>
    <w:p>
      <w:pPr>
        <w:spacing w:after="16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Practical drafting note</w:t>
            </w:r>
          </w:p>
          <w:p>
            <w:pPr>
              <w:spacing w:after="60"/>
            </w:pPr>
            <w:r>
              <w:rPr>
                <w:rFonts w:ascii="Calibri" w:cs="Calibri" w:eastAsia="Calibri" w:hAnsi="Calibri"/>
                <w:color w:val="111827"/>
                <w:sz w:val="21"/>
                <w:szCs w:val="21"/>
              </w:rPr>
              <w:t xml:space="preserve">Even though the statute requires registered mail for the builder's response, the homeowner's initial notice should go by certified mail, return receipt requested — it creates undisputable proof of receipt and starts the 21-day clock cleanly.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4. Demand Letter — What Must Be Inside</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A compliant pre-suit demand letter (sent by the homeowner directly or through counsel) should contain every one of the following elements:</w:t>
      </w:r>
    </w:p>
    <w:p>
      <w:pPr>
        <w:pStyle w:val="ListParagraph"/>
        <w:numPr>
          <w:ilvl w:val="0"/>
          <w:numId w:val="2"/>
        </w:numPr>
        <w:spacing w:after="80"/>
      </w:pPr>
      <w:r>
        <w:rPr>
          <w:rFonts w:ascii="Calibri" w:cs="Calibri" w:eastAsia="Calibri" w:hAnsi="Calibri"/>
          <w:color w:val="111827"/>
          <w:sz w:val="22"/>
          <w:szCs w:val="22"/>
        </w:rPr>
        <w:t xml:space="preserve">Homeowner's full legal name(s) and the property address</w:t>
      </w:r>
    </w:p>
    <w:p>
      <w:pPr>
        <w:pStyle w:val="ListParagraph"/>
        <w:numPr>
          <w:ilvl w:val="0"/>
          <w:numId w:val="2"/>
        </w:numPr>
        <w:spacing w:after="80"/>
      </w:pPr>
      <w:r>
        <w:rPr>
          <w:rFonts w:ascii="Calibri" w:cs="Calibri" w:eastAsia="Calibri" w:hAnsi="Calibri"/>
          <w:color w:val="111827"/>
          <w:sz w:val="22"/>
          <w:szCs w:val="22"/>
        </w:rPr>
        <w:t xml:space="preserve">Date of closing and date of substantial completion</w:t>
      </w:r>
    </w:p>
    <w:p>
      <w:pPr>
        <w:pStyle w:val="ListParagraph"/>
        <w:numPr>
          <w:ilvl w:val="0"/>
          <w:numId w:val="2"/>
        </w:numPr>
        <w:spacing w:after="80"/>
      </w:pPr>
      <w:r>
        <w:rPr>
          <w:rFonts w:ascii="Calibri" w:cs="Calibri" w:eastAsia="Calibri" w:hAnsi="Calibri"/>
          <w:color w:val="111827"/>
          <w:sz w:val="22"/>
          <w:szCs w:val="22"/>
        </w:rPr>
        <w:t xml:space="preserve">Identification of the builder, contractor, and any known subcontractors</w:t>
      </w:r>
    </w:p>
    <w:p>
      <w:pPr>
        <w:pStyle w:val="ListParagraph"/>
        <w:numPr>
          <w:ilvl w:val="0"/>
          <w:numId w:val="2"/>
        </w:numPr>
        <w:spacing w:after="80"/>
      </w:pPr>
      <w:r>
        <w:rPr>
          <w:rFonts w:ascii="Calibri" w:cs="Calibri" w:eastAsia="Calibri" w:hAnsi="Calibri"/>
          <w:color w:val="111827"/>
          <w:sz w:val="22"/>
          <w:szCs w:val="22"/>
        </w:rPr>
        <w:t xml:space="preserve">A reasonably detailed description of each defect, with location, nature, and observed symptoms</w:t>
      </w:r>
    </w:p>
    <w:p>
      <w:pPr>
        <w:pStyle w:val="ListParagraph"/>
        <w:numPr>
          <w:ilvl w:val="0"/>
          <w:numId w:val="2"/>
        </w:numPr>
        <w:spacing w:after="80"/>
      </w:pPr>
      <w:r>
        <w:rPr>
          <w:rFonts w:ascii="Calibri" w:cs="Calibri" w:eastAsia="Calibri" w:hAnsi="Calibri"/>
          <w:color w:val="111827"/>
          <w:sz w:val="22"/>
          <w:szCs w:val="22"/>
        </w:rPr>
        <w:t xml:space="preserve">Express reference to KRS 411.250–411.266 and explicit invocation of the 21-day response period</w:t>
      </w:r>
    </w:p>
    <w:p>
      <w:pPr>
        <w:pStyle w:val="ListParagraph"/>
        <w:numPr>
          <w:ilvl w:val="0"/>
          <w:numId w:val="2"/>
        </w:numPr>
        <w:spacing w:after="80"/>
      </w:pPr>
      <w:r>
        <w:rPr>
          <w:rFonts w:ascii="Calibri" w:cs="Calibri" w:eastAsia="Calibri" w:hAnsi="Calibri"/>
          <w:color w:val="111827"/>
          <w:sz w:val="22"/>
          <w:szCs w:val="22"/>
        </w:rPr>
        <w:t xml:space="preserve">A proposed inspection access protocol and reasonable dates the homeowner is available</w:t>
      </w:r>
    </w:p>
    <w:p>
      <w:pPr>
        <w:pStyle w:val="ListParagraph"/>
        <w:numPr>
          <w:ilvl w:val="0"/>
          <w:numId w:val="2"/>
        </w:numPr>
        <w:spacing w:after="80"/>
      </w:pPr>
      <w:r>
        <w:rPr>
          <w:rFonts w:ascii="Calibri" w:cs="Calibri" w:eastAsia="Calibri" w:hAnsi="Calibri"/>
          <w:color w:val="111827"/>
          <w:sz w:val="22"/>
          <w:szCs w:val="22"/>
        </w:rPr>
        <w:t xml:space="preserve">Statement of the remedy sought (repair, replacement, monetary settlement)</w:t>
      </w:r>
    </w:p>
    <w:p>
      <w:pPr>
        <w:pStyle w:val="ListParagraph"/>
        <w:numPr>
          <w:ilvl w:val="0"/>
          <w:numId w:val="2"/>
        </w:numPr>
        <w:spacing w:after="80"/>
      </w:pPr>
      <w:r>
        <w:rPr>
          <w:rFonts w:ascii="Calibri" w:cs="Calibri" w:eastAsia="Calibri" w:hAnsi="Calibri"/>
          <w:color w:val="111827"/>
          <w:sz w:val="22"/>
          <w:szCs w:val="22"/>
        </w:rPr>
        <w:t xml:space="preserve">Reservation of rights, including the implied warranty under Crawley v. Terhune</w:t>
      </w:r>
    </w:p>
    <w:p>
      <w:pPr>
        <w:pStyle w:val="ListParagraph"/>
        <w:numPr>
          <w:ilvl w:val="0"/>
          <w:numId w:val="2"/>
        </w:numPr>
        <w:spacing w:after="80"/>
      </w:pPr>
      <w:r>
        <w:rPr>
          <w:rFonts w:ascii="Calibri" w:cs="Calibri" w:eastAsia="Calibri" w:hAnsi="Calibri"/>
          <w:color w:val="111827"/>
          <w:sz w:val="22"/>
          <w:szCs w:val="22"/>
        </w:rPr>
        <w:t xml:space="preserve">Signature and certified-mail tracking number</w:t>
      </w:r>
    </w:p>
    <w:p>
      <w:pPr>
        <w:pStyle w:val="ListParagraph"/>
        <w:numPr>
          <w:ilvl w:val="0"/>
          <w:numId w:val="2"/>
        </w:numPr>
        <w:spacing w:after="80"/>
      </w:pPr>
      <w:r>
        <w:rPr>
          <w:rFonts w:ascii="Calibri" w:cs="Calibri" w:eastAsia="Calibri" w:hAnsi="Calibri"/>
          <w:color w:val="111827"/>
          <w:sz w:val="22"/>
          <w:szCs w:val="22"/>
        </w:rPr>
        <w:t xml:space="preserve">Attached evidence appendix — photo log, defect schedule, communications log, any inspection reports</w:t>
      </w:r>
    </w:p>
    <w:p>
      <w:pPr>
        <w:pStyle w:val="Heading2"/>
        <w:spacing w:after="140" w:before="280"/>
      </w:pPr>
      <w:r>
        <w:rPr>
          <w:rFonts w:ascii="Calibri" w:cs="Calibri" w:eastAsia="Calibri" w:hAnsi="Calibri"/>
          <w:b/>
          <w:bCs/>
          <w:color w:val="374151"/>
          <w:sz w:val="26"/>
          <w:szCs w:val="26"/>
        </w:rPr>
        <w:t xml:space="preserve">Evidence Preservation Checklist</w:t>
      </w:r>
    </w:p>
    <w:p>
      <w:pPr>
        <w:pStyle w:val="ListParagraph"/>
        <w:numPr>
          <w:ilvl w:val="0"/>
          <w:numId w:val="2"/>
        </w:numPr>
        <w:spacing w:after="80"/>
      </w:pPr>
      <w:r>
        <w:rPr>
          <w:rFonts w:ascii="Calibri" w:cs="Calibri" w:eastAsia="Calibri" w:hAnsi="Calibri"/>
          <w:color w:val="111827"/>
          <w:sz w:val="22"/>
          <w:szCs w:val="22"/>
        </w:rPr>
        <w:t xml:space="preserve">Dated, geotagged photographs and video of every defect, including progression over time</w:t>
      </w:r>
    </w:p>
    <w:p>
      <w:pPr>
        <w:pStyle w:val="ListParagraph"/>
        <w:numPr>
          <w:ilvl w:val="0"/>
          <w:numId w:val="2"/>
        </w:numPr>
        <w:spacing w:after="80"/>
      </w:pPr>
      <w:r>
        <w:rPr>
          <w:rFonts w:ascii="Calibri" w:cs="Calibri" w:eastAsia="Calibri" w:hAnsi="Calibri"/>
          <w:color w:val="111827"/>
          <w:sz w:val="22"/>
          <w:szCs w:val="22"/>
        </w:rPr>
        <w:t xml:space="preserve">Written log of communications with the builder (date, channel, content, who)</w:t>
      </w:r>
    </w:p>
    <w:p>
      <w:pPr>
        <w:pStyle w:val="ListParagraph"/>
        <w:numPr>
          <w:ilvl w:val="0"/>
          <w:numId w:val="2"/>
        </w:numPr>
        <w:spacing w:after="80"/>
      </w:pPr>
      <w:r>
        <w:rPr>
          <w:rFonts w:ascii="Calibri" w:cs="Calibri" w:eastAsia="Calibri" w:hAnsi="Calibri"/>
          <w:color w:val="111827"/>
          <w:sz w:val="22"/>
          <w:szCs w:val="22"/>
        </w:rPr>
        <w:t xml:space="preserve">Retain all closing documents, plans, specs, change orders, punch lists, marketing materials</w:t>
      </w:r>
    </w:p>
    <w:p>
      <w:pPr>
        <w:pStyle w:val="ListParagraph"/>
        <w:numPr>
          <w:ilvl w:val="0"/>
          <w:numId w:val="2"/>
        </w:numPr>
        <w:spacing w:after="80"/>
      </w:pPr>
      <w:r>
        <w:rPr>
          <w:rFonts w:ascii="Calibri" w:cs="Calibri" w:eastAsia="Calibri" w:hAnsi="Calibri"/>
          <w:color w:val="111827"/>
          <w:sz w:val="22"/>
          <w:szCs w:val="22"/>
        </w:rPr>
        <w:t xml:space="preserve">Obtain an independent third-party inspection report (licensed home inspector or engineer)</w:t>
      </w:r>
    </w:p>
    <w:p>
      <w:pPr>
        <w:pStyle w:val="ListParagraph"/>
        <w:numPr>
          <w:ilvl w:val="0"/>
          <w:numId w:val="2"/>
        </w:numPr>
        <w:spacing w:after="80"/>
      </w:pPr>
      <w:r>
        <w:rPr>
          <w:rFonts w:ascii="Calibri" w:cs="Calibri" w:eastAsia="Calibri" w:hAnsi="Calibri"/>
          <w:color w:val="111827"/>
          <w:sz w:val="22"/>
          <w:szCs w:val="22"/>
        </w:rPr>
        <w:t xml:space="preserve">Preserve physical evidence in place where feasible; if mitigation requires removal, photograph extensively first and store removed materials</w:t>
      </w:r>
    </w:p>
    <w:p>
      <w:pPr>
        <w:pStyle w:val="ListParagraph"/>
        <w:numPr>
          <w:ilvl w:val="0"/>
          <w:numId w:val="2"/>
        </w:numPr>
        <w:spacing w:after="80"/>
      </w:pPr>
      <w:r>
        <w:rPr>
          <w:rFonts w:ascii="Calibri" w:cs="Calibri" w:eastAsia="Calibri" w:hAnsi="Calibri"/>
          <w:color w:val="111827"/>
          <w:sz w:val="22"/>
          <w:szCs w:val="22"/>
        </w:rPr>
        <w:t xml:space="preserve">Notify the builder in writing before any destructive testing or repair so they cannot claim spoliation</w:t>
      </w:r>
    </w:p>
    <w:p>
      <w:pPr>
        <w:pStyle w:val="ListParagraph"/>
        <w:numPr>
          <w:ilvl w:val="0"/>
          <w:numId w:val="2"/>
        </w:numPr>
        <w:spacing w:after="80"/>
      </w:pPr>
      <w:r>
        <w:rPr>
          <w:rFonts w:ascii="Calibri" w:cs="Calibri" w:eastAsia="Calibri" w:hAnsi="Calibri"/>
          <w:color w:val="111827"/>
          <w:sz w:val="22"/>
          <w:szCs w:val="22"/>
        </w:rPr>
        <w:t xml:space="preserve">Keep receipts for any mitigation or repair expenses</w:t>
      </w:r>
    </w:p>
    <w:p>
      <w:pPr>
        <w:pStyle w:val="ListParagraph"/>
        <w:numPr>
          <w:ilvl w:val="0"/>
          <w:numId w:val="2"/>
        </w:numPr>
        <w:spacing w:after="80"/>
      </w:pPr>
      <w:r>
        <w:rPr>
          <w:rFonts w:ascii="Calibri" w:cs="Calibri" w:eastAsia="Calibri" w:hAnsi="Calibri"/>
          <w:color w:val="111827"/>
          <w:sz w:val="22"/>
          <w:szCs w:val="22"/>
        </w:rPr>
        <w:t xml:space="preserve">Maintain a single chronological case file (paper plus digital backup)</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5. Parallel Complaint Channels</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Use these regulatory and consumer channels in parallel with the attorney/demand-letter track — not in place of it.</w:t>
      </w:r>
    </w:p>
    <w:p>
      <w:pPr>
        <w:pStyle w:val="Heading2"/>
        <w:spacing w:after="140" w:before="280"/>
      </w:pPr>
      <w:r>
        <w:rPr>
          <w:rFonts w:ascii="Calibri" w:cs="Calibri" w:eastAsia="Calibri" w:hAnsi="Calibri"/>
          <w:b/>
          <w:bCs/>
          <w:color w:val="374151"/>
          <w:sz w:val="26"/>
          <w:szCs w:val="26"/>
        </w:rPr>
        <w:t xml:space="preserve">Kentucky Attorney General — Office of Consumer Protection</w:t>
      </w:r>
    </w:p>
    <w:p>
      <w:pPr>
        <w:pStyle w:val="ListParagraph"/>
        <w:numPr>
          <w:ilvl w:val="0"/>
          <w:numId w:val="2"/>
        </w:numPr>
        <w:spacing w:after="80"/>
      </w:pPr>
      <w:r>
        <w:rPr>
          <w:rFonts w:ascii="Calibri" w:cs="Calibri" w:eastAsia="Calibri" w:hAnsi="Calibri"/>
          <w:color w:val="111827"/>
          <w:sz w:val="22"/>
          <w:szCs w:val="22"/>
        </w:rPr>
        <w:t xml:space="preserve">Files a consumer complaint and runs voluntary mediation under the Kentucky Consumer Protection Act (KRS 367.110 et seq.)</w:t>
      </w:r>
    </w:p>
    <w:p>
      <w:pPr>
        <w:pStyle w:val="ListParagraph"/>
        <w:numPr>
          <w:ilvl w:val="0"/>
          <w:numId w:val="2"/>
        </w:numPr>
        <w:spacing w:after="80"/>
      </w:pPr>
      <w:r>
        <w:rPr>
          <w:rFonts w:ascii="Calibri" w:cs="Calibri" w:eastAsia="Calibri" w:hAnsi="Calibri"/>
          <w:color w:val="111827"/>
          <w:sz w:val="22"/>
          <w:szCs w:val="22"/>
        </w:rPr>
        <w:t xml:space="preserve">Online intake: secure.kentucky.gov/formservices/AttorneyGeneral/ConsumerMediationForm</w:t>
      </w:r>
    </w:p>
    <w:p>
      <w:pPr>
        <w:pStyle w:val="ListParagraph"/>
        <w:numPr>
          <w:ilvl w:val="0"/>
          <w:numId w:val="2"/>
        </w:numPr>
        <w:spacing w:after="80"/>
      </w:pPr>
      <w:r>
        <w:rPr>
          <w:rFonts w:ascii="Calibri" w:cs="Calibri" w:eastAsia="Calibri" w:hAnsi="Calibri"/>
          <w:color w:val="111827"/>
          <w:sz w:val="22"/>
          <w:szCs w:val="22"/>
        </w:rPr>
        <w:t xml:space="preserve">Mail: Office of Consumer Protection, 1024 Capital Center Drive, Suite 200, Frankfort, KY 40601</w:t>
      </w:r>
    </w:p>
    <w:p>
      <w:pPr>
        <w:pStyle w:val="ListParagraph"/>
        <w:numPr>
          <w:ilvl w:val="0"/>
          <w:numId w:val="2"/>
        </w:numPr>
        <w:spacing w:after="80"/>
      </w:pPr>
      <w:r>
        <w:rPr>
          <w:rFonts w:ascii="Calibri" w:cs="Calibri" w:eastAsia="Calibri" w:hAnsi="Calibri"/>
          <w:color w:val="111827"/>
          <w:sz w:val="22"/>
          <w:szCs w:val="22"/>
        </w:rPr>
        <w:t xml:space="preserve">Phone: (502) 696-5389  |  Hotline: (888) 432-9257</w:t>
      </w:r>
    </w:p>
    <w:p>
      <w:pPr>
        <w:pStyle w:val="ListParagraph"/>
        <w:numPr>
          <w:ilvl w:val="0"/>
          <w:numId w:val="2"/>
        </w:numPr>
        <w:spacing w:after="80"/>
      </w:pPr>
      <w:r>
        <w:rPr>
          <w:rFonts w:ascii="Calibri" w:cs="Calibri" w:eastAsia="Calibri" w:hAnsi="Calibri"/>
          <w:color w:val="111827"/>
          <w:sz w:val="22"/>
          <w:szCs w:val="22"/>
        </w:rPr>
        <w:t xml:space="preserve">Cannot force repair or award damages; a pattern of complaints can trigger a broader investigation.</w:t>
      </w:r>
    </w:p>
    <w:p>
      <w:pPr>
        <w:pStyle w:val="Heading2"/>
        <w:spacing w:after="140" w:before="280"/>
      </w:pPr>
      <w:r>
        <w:rPr>
          <w:rFonts w:ascii="Calibri" w:cs="Calibri" w:eastAsia="Calibri" w:hAnsi="Calibri"/>
          <w:b/>
          <w:bCs/>
          <w:color w:val="374151"/>
          <w:sz w:val="26"/>
          <w:szCs w:val="26"/>
        </w:rPr>
        <w:t xml:space="preserve">Department of Housing, Buildings &amp; Construction (DHBC)</w:t>
      </w:r>
    </w:p>
    <w:p>
      <w:pPr>
        <w:pStyle w:val="ListParagraph"/>
        <w:numPr>
          <w:ilvl w:val="0"/>
          <w:numId w:val="2"/>
        </w:numPr>
        <w:spacing w:after="80"/>
      </w:pPr>
      <w:r>
        <w:rPr>
          <w:rFonts w:ascii="Calibri" w:cs="Calibri" w:eastAsia="Calibri" w:hAnsi="Calibri"/>
          <w:color w:val="111827"/>
          <w:sz w:val="22"/>
          <w:szCs w:val="22"/>
        </w:rPr>
        <w:t xml:space="preserve">Kentucky does not license general contractors or residential home builders at the state level. Local cities and counties may register builders separately.</w:t>
      </w:r>
    </w:p>
    <w:p>
      <w:pPr>
        <w:pStyle w:val="ListParagraph"/>
        <w:numPr>
          <w:ilvl w:val="0"/>
          <w:numId w:val="2"/>
        </w:numPr>
        <w:spacing w:after="80"/>
      </w:pPr>
      <w:r>
        <w:rPr>
          <w:rFonts w:ascii="Calibri" w:cs="Calibri" w:eastAsia="Calibri" w:hAnsi="Calibri"/>
          <w:color w:val="111827"/>
          <w:sz w:val="22"/>
          <w:szCs w:val="22"/>
        </w:rPr>
        <w:t xml:space="preserve">DHBC does license HVAC, plumbing, electrical, boiler, fire sprinkler/alarm trades. If the defect involves any of these regulated trades, file with the matching division.</w:t>
      </w:r>
    </w:p>
    <w:p>
      <w:pPr>
        <w:pStyle w:val="ListParagraph"/>
        <w:numPr>
          <w:ilvl w:val="0"/>
          <w:numId w:val="2"/>
        </w:numPr>
        <w:spacing w:after="80"/>
      </w:pPr>
      <w:r>
        <w:rPr>
          <w:rFonts w:ascii="Calibri" w:cs="Calibri" w:eastAsia="Calibri" w:hAnsi="Calibri"/>
          <w:color w:val="111827"/>
          <w:sz w:val="22"/>
          <w:szCs w:val="22"/>
        </w:rPr>
        <w:t xml:space="preserve">HVAC: dhbc.ky.gov/newstatic_Info.aspx?static_ID=368  |  hvac@ky.gov  |  (502) 573-0395</w:t>
      </w:r>
    </w:p>
    <w:p>
      <w:pPr>
        <w:pStyle w:val="ListParagraph"/>
        <w:numPr>
          <w:ilvl w:val="0"/>
          <w:numId w:val="2"/>
        </w:numPr>
        <w:spacing w:after="80"/>
      </w:pPr>
      <w:r>
        <w:rPr>
          <w:rFonts w:ascii="Calibri" w:cs="Calibri" w:eastAsia="Calibri" w:hAnsi="Calibri"/>
          <w:color w:val="111827"/>
          <w:sz w:val="22"/>
          <w:szCs w:val="22"/>
        </w:rPr>
        <w:t xml:space="preserve">Plumbing: Division of Plumbing Formal Consumer Complaint Form, 101 Sea Hero Rd. Ste. 101, Frankfort, KY 40601</w:t>
      </w:r>
    </w:p>
    <w:p>
      <w:pPr>
        <w:pStyle w:val="ListParagraph"/>
        <w:numPr>
          <w:ilvl w:val="0"/>
          <w:numId w:val="2"/>
        </w:numPr>
        <w:spacing w:after="80"/>
      </w:pPr>
      <w:r>
        <w:rPr>
          <w:rFonts w:ascii="Calibri" w:cs="Calibri" w:eastAsia="Calibri" w:hAnsi="Calibri"/>
          <w:color w:val="111827"/>
          <w:sz w:val="22"/>
          <w:szCs w:val="22"/>
        </w:rPr>
        <w:t xml:space="preserve">Result: inspector investigation, possible discipline, and an official finding usable as evidence.</w:t>
      </w:r>
    </w:p>
    <w:p>
      <w:pPr>
        <w:pStyle w:val="Heading2"/>
        <w:spacing w:after="140" w:before="280"/>
      </w:pPr>
      <w:r>
        <w:rPr>
          <w:rFonts w:ascii="Calibri" w:cs="Calibri" w:eastAsia="Calibri" w:hAnsi="Calibri"/>
          <w:b/>
          <w:bCs/>
          <w:color w:val="374151"/>
          <w:sz w:val="26"/>
          <w:szCs w:val="26"/>
        </w:rPr>
        <w:t xml:space="preserve">Local Building Inspector / County Code Enforcement</w:t>
      </w:r>
    </w:p>
    <w:p>
      <w:pPr>
        <w:pStyle w:val="ListParagraph"/>
        <w:numPr>
          <w:ilvl w:val="0"/>
          <w:numId w:val="2"/>
        </w:numPr>
        <w:spacing w:after="80"/>
      </w:pPr>
      <w:r>
        <w:rPr>
          <w:rFonts w:ascii="Calibri" w:cs="Calibri" w:eastAsia="Calibri" w:hAnsi="Calibri"/>
          <w:color w:val="111827"/>
          <w:sz w:val="22"/>
          <w:szCs w:val="22"/>
        </w:rPr>
        <w:t xml:space="preserve">Contact the city or county building department that pulled the original permit.</w:t>
      </w:r>
    </w:p>
    <w:p>
      <w:pPr>
        <w:pStyle w:val="ListParagraph"/>
        <w:numPr>
          <w:ilvl w:val="0"/>
          <w:numId w:val="2"/>
        </w:numPr>
        <w:spacing w:after="80"/>
      </w:pPr>
      <w:r>
        <w:rPr>
          <w:rFonts w:ascii="Calibri" w:cs="Calibri" w:eastAsia="Calibri" w:hAnsi="Calibri"/>
          <w:color w:val="111827"/>
          <w:sz w:val="22"/>
          <w:szCs w:val="22"/>
        </w:rPr>
        <w:t xml:space="preserve">Request a re-inspection or code-violation investigation. Inspectors can issue correction notices and (in some jurisdictions) stop-work or fines.</w:t>
      </w:r>
    </w:p>
    <w:p>
      <w:pPr>
        <w:pStyle w:val="ListParagraph"/>
        <w:numPr>
          <w:ilvl w:val="0"/>
          <w:numId w:val="2"/>
        </w:numPr>
        <w:spacing w:after="80"/>
      </w:pPr>
      <w:r>
        <w:rPr>
          <w:rFonts w:ascii="Calibri" w:cs="Calibri" w:eastAsia="Calibri" w:hAnsi="Calibri"/>
          <w:color w:val="111827"/>
          <w:sz w:val="22"/>
          <w:szCs w:val="22"/>
        </w:rPr>
        <w:t xml:space="preserve">Only addresses code violations — not cosmetic defects or contract / warranty breaches.</w:t>
      </w:r>
    </w:p>
    <w:p>
      <w:pPr>
        <w:pStyle w:val="Heading2"/>
        <w:spacing w:after="140" w:before="280"/>
      </w:pPr>
      <w:r>
        <w:rPr>
          <w:rFonts w:ascii="Calibri" w:cs="Calibri" w:eastAsia="Calibri" w:hAnsi="Calibri"/>
          <w:b/>
          <w:bCs/>
          <w:color w:val="374151"/>
          <w:sz w:val="26"/>
          <w:szCs w:val="26"/>
        </w:rPr>
        <w:t xml:space="preserve">Better Business Bureau</w:t>
      </w:r>
    </w:p>
    <w:p>
      <w:pPr>
        <w:pStyle w:val="ListParagraph"/>
        <w:numPr>
          <w:ilvl w:val="0"/>
          <w:numId w:val="2"/>
        </w:numPr>
        <w:spacing w:after="80"/>
      </w:pPr>
      <w:r>
        <w:rPr>
          <w:rFonts w:ascii="Calibri" w:cs="Calibri" w:eastAsia="Calibri" w:hAnsi="Calibri"/>
          <w:color w:val="111827"/>
          <w:sz w:val="22"/>
          <w:szCs w:val="22"/>
        </w:rPr>
        <w:t xml:space="preserve">File at bbb.org/file-a-complaint. Builder asked to respond within 14 days; most files close within 30 days.</w:t>
      </w:r>
    </w:p>
    <w:p>
      <w:pPr>
        <w:pStyle w:val="ListParagraph"/>
        <w:numPr>
          <w:ilvl w:val="0"/>
          <w:numId w:val="2"/>
        </w:numPr>
        <w:spacing w:after="80"/>
      </w:pPr>
      <w:r>
        <w:rPr>
          <w:rFonts w:ascii="Calibri" w:cs="Calibri" w:eastAsia="Calibri" w:hAnsi="Calibri"/>
          <w:color w:val="111827"/>
          <w:sz w:val="22"/>
          <w:szCs w:val="22"/>
        </w:rPr>
        <w:t xml:space="preserve">Documented complaint on the builder's BBB profile; BBB-facilitated mediation/arbitration if both parties agree.</w:t>
      </w:r>
    </w:p>
    <w:p>
      <w:pPr>
        <w:pStyle w:val="ListParagraph"/>
        <w:numPr>
          <w:ilvl w:val="0"/>
          <w:numId w:val="2"/>
        </w:numPr>
        <w:spacing w:after="80"/>
      </w:pPr>
      <w:r>
        <w:rPr>
          <w:rFonts w:ascii="Calibri" w:cs="Calibri" w:eastAsia="Calibri" w:hAnsi="Calibri"/>
          <w:color w:val="111827"/>
          <w:sz w:val="22"/>
          <w:szCs w:val="22"/>
        </w:rPr>
        <w:t xml:space="preserve">Not a regulator — useful for public-facing pressure and paper trail.</w:t>
      </w:r>
    </w:p>
    <w:p>
      <w:pPr>
        <w:pStyle w:val="Heading2"/>
        <w:spacing w:after="140" w:before="280"/>
      </w:pPr>
      <w:r>
        <w:rPr>
          <w:rFonts w:ascii="Calibri" w:cs="Calibri" w:eastAsia="Calibri" w:hAnsi="Calibri"/>
          <w:b/>
          <w:bCs/>
          <w:color w:val="374151"/>
          <w:sz w:val="26"/>
          <w:szCs w:val="26"/>
        </w:rPr>
        <w:t xml:space="preserve">Home Builders Association / Local HBA</w:t>
      </w:r>
    </w:p>
    <w:p>
      <w:pPr>
        <w:pStyle w:val="ListParagraph"/>
        <w:numPr>
          <w:ilvl w:val="0"/>
          <w:numId w:val="2"/>
        </w:numPr>
        <w:spacing w:after="80"/>
      </w:pPr>
      <w:r>
        <w:rPr>
          <w:rFonts w:ascii="Calibri" w:cs="Calibri" w:eastAsia="Calibri" w:hAnsi="Calibri"/>
          <w:color w:val="111827"/>
          <w:sz w:val="22"/>
          <w:szCs w:val="22"/>
        </w:rPr>
        <w:t xml:space="preserve">Local Home Builders Association affiliates may run a conciliation/arbitration program for member builders.</w:t>
      </w:r>
    </w:p>
    <w:p>
      <w:pPr>
        <w:pStyle w:val="ListParagraph"/>
        <w:numPr>
          <w:ilvl w:val="0"/>
          <w:numId w:val="2"/>
        </w:numPr>
        <w:spacing w:after="80"/>
      </w:pPr>
      <w:r>
        <w:rPr>
          <w:rFonts w:ascii="Calibri" w:cs="Calibri" w:eastAsia="Calibri" w:hAnsi="Calibri"/>
          <w:color w:val="111827"/>
          <w:sz w:val="22"/>
          <w:szCs w:val="22"/>
        </w:rPr>
        <w:t xml:space="preserve">Typical structure: each side pays a filing fee; builder has roughly 14 days to respond; if conciliation fails, binding arbitration under the KY Arbitration Act.</w:t>
      </w:r>
    </w:p>
    <w:p>
      <w:pPr>
        <w:pStyle w:val="ListParagraph"/>
        <w:numPr>
          <w:ilvl w:val="0"/>
          <w:numId w:val="2"/>
        </w:numPr>
        <w:spacing w:after="80"/>
      </w:pPr>
      <w:r>
        <w:rPr>
          <w:rFonts w:ascii="Calibri" w:cs="Calibri" w:eastAsia="Calibri" w:hAnsi="Calibri"/>
          <w:color w:val="111827"/>
          <w:sz w:val="22"/>
          <w:szCs w:val="22"/>
        </w:rPr>
        <w:t xml:space="preserve">Eligibility limits are common: filings must occur within one year of closing and the builder must be a current member. Verify before relying on this channel.</w:t>
      </w:r>
    </w:p>
    <w:p>
      <w:pPr>
        <w:pStyle w:val="Heading2"/>
        <w:spacing w:after="140" w:before="280"/>
      </w:pPr>
      <w:r>
        <w:rPr>
          <w:rFonts w:ascii="Calibri" w:cs="Calibri" w:eastAsia="Calibri" w:hAnsi="Calibri"/>
          <w:b/>
          <w:bCs/>
          <w:color w:val="374151"/>
          <w:sz w:val="26"/>
          <w:szCs w:val="26"/>
        </w:rPr>
        <w:t xml:space="preserve">Small Claims and Civil Courts</w:t>
      </w:r>
    </w:p>
    <w:p>
      <w:pPr>
        <w:pStyle w:val="ListParagraph"/>
        <w:numPr>
          <w:ilvl w:val="0"/>
          <w:numId w:val="2"/>
        </w:numPr>
        <w:spacing w:after="80"/>
      </w:pPr>
      <w:r>
        <w:rPr>
          <w:rFonts w:ascii="Calibri" w:cs="Calibri" w:eastAsia="Calibri" w:hAnsi="Calibri"/>
          <w:color w:val="111827"/>
          <w:sz w:val="22"/>
          <w:szCs w:val="22"/>
        </w:rPr>
        <w:t xml:space="preserve">Small Claims (KRS 24A.230): jurisdictional cap $2,500. Use for sub-$2,500 standalone items only.</w:t>
      </w:r>
    </w:p>
    <w:p>
      <w:pPr>
        <w:pStyle w:val="ListParagraph"/>
        <w:numPr>
          <w:ilvl w:val="0"/>
          <w:numId w:val="2"/>
        </w:numPr>
        <w:spacing w:after="80"/>
      </w:pPr>
      <w:r>
        <w:rPr>
          <w:rFonts w:ascii="Calibri" w:cs="Calibri" w:eastAsia="Calibri" w:hAnsi="Calibri"/>
          <w:color w:val="111827"/>
          <w:sz w:val="22"/>
          <w:szCs w:val="22"/>
        </w:rPr>
        <w:t xml:space="preserve">District Court (KRS 24A.120): civil jurisdiction up to $20,000 (verify current — recently raised from the prior $5,000 cap).</w:t>
      </w:r>
    </w:p>
    <w:p>
      <w:pPr>
        <w:pStyle w:val="ListParagraph"/>
        <w:numPr>
          <w:ilvl w:val="0"/>
          <w:numId w:val="2"/>
        </w:numPr>
        <w:spacing w:after="80"/>
      </w:pPr>
      <w:r>
        <w:rPr>
          <w:rFonts w:ascii="Calibri" w:cs="Calibri" w:eastAsia="Calibri" w:hAnsi="Calibri"/>
          <w:color w:val="111827"/>
          <w:sz w:val="22"/>
          <w:szCs w:val="22"/>
        </w:rPr>
        <w:t xml:space="preserve">Circuit Court: exclusive jurisdiction above $20,000, plus equity and title to real property. Most full-scope construction defect cases land here.</w:t>
      </w:r>
    </w:p>
    <w:p>
      <w:pPr>
        <w:pStyle w:val="ListParagraph"/>
        <w:numPr>
          <w:ilvl w:val="0"/>
          <w:numId w:val="2"/>
        </w:numPr>
        <w:spacing w:after="80"/>
      </w:pPr>
      <w:r>
        <w:rPr>
          <w:rFonts w:ascii="Calibri" w:cs="Calibri" w:eastAsia="Calibri" w:hAnsi="Calibri"/>
          <w:color w:val="111827"/>
          <w:sz w:val="22"/>
          <w:szCs w:val="22"/>
        </w:rPr>
        <w:t xml:space="preserve">Venue: circuit court of the county where the property sits or where the builder resides/does business.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6. Recommended Sequencing</w:t>
            </w:r>
          </w:p>
        </w:tc>
      </w:tr>
    </w:tbl>
    <w:p>
      <w:pPr>
        <w:spacing w:after="16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When</w:t>
            </w:r>
          </w:p>
        </w:tc>
        <w:tc>
          <w:tcPr>
            <w:tcW w:type="dxa" w:w="636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Action</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0</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Walk the home and complete a defect intake form. Take dated photos and video of every issue.</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0–7</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Obtain an independent third-party inspection (engineer or licensed home inspector). File a re-inspection request with the local building official.</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7–10</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If trades are involved (HVAC, plumbing, electrical), file a DHBC complaint. File AG Consumer Protection and BBB complaints in parallel.</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10–14</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Engage Kentucky counsel. Provide intake form, photo log, communications log, and inspection report. Attorney sends KRS 411.260 demand letter by certified mail, return receipt requested.</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14–35</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21-day response window runs. Statute of limitations and repose are tolled during this period.</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35+</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If the builder offers acceptable repair, monitor and document. If denied or no response, attorney evaluates suit in Circuit Court (or HBA arbitration if eligible).</w:t>
            </w:r>
          </w:p>
        </w:tc>
      </w:tr>
    </w:tbl>
    <w:p>
      <w:r>
        <w:br w:type="page"/>
      </w:r>
    </w:p>
    <w:p>
      <w:pPr>
        <w:pStyle w:val="Heading1"/>
        <w:spacing w:after="200" w:before="360"/>
      </w:pPr>
      <w:r>
        <w:rPr>
          <w:rFonts w:ascii="Calibri" w:cs="Calibri" w:eastAsia="Calibri" w:hAnsi="Calibri"/>
          <w:b/>
          <w:bCs/>
          <w:color w:val="1F2937"/>
          <w:sz w:val="32"/>
          <w:szCs w:val="32"/>
        </w:rPr>
        <w:t xml:space="preserve">Disclaimer</w:t>
      </w:r>
    </w:p>
    <w:p>
      <w:pPr>
        <w:spacing w:after="120"/>
        <w:jc w:val="left"/>
      </w:pPr>
      <w:r>
        <w:rPr>
          <w:rFonts w:ascii="Calibri" w:cs="Calibri" w:eastAsia="Calibri" w:hAnsi="Calibri"/>
          <w:b w:val="false"/>
          <w:bCs w:val="false"/>
          <w:i w:val="false"/>
          <w:iCs w:val="false"/>
          <w:color w:val="111827"/>
          <w:sz w:val="22"/>
          <w:szCs w:val="22"/>
        </w:rPr>
        <w:t xml:space="preserve">This document is a general reference. It is not legal advice and does not create an attorney-client relationship. Statutes change and constitutional challenges have been raised against KRS 413.135. The constitutional status of the current 7-year version of KRS 413.135 should be flagged in any client memo. Before any demand letter is sent, a licensed Kentucky attorney should verify each statute number and case citation against current authority and confirm the procedural sequence under KRS 411.250–411.266 fits the specific facts. Always pull official Westlaw or Lexis text for any quoted authority.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8"/>
        <w:szCs w:val="18"/>
      </w:rPr>
      <w:t xml:space="preserve">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2937" w:sz="8" w:space="4"/>
      </w:pBdr>
      <w:jc w:val="right"/>
    </w:pPr>
    <w:r>
      <w:rPr>
        <w:rFonts w:ascii="Calibri" w:cs="Calibri" w:eastAsia="Calibri" w:hAnsi="Calibri"/>
        <w:color w:val="6B7280"/>
        <w:sz w:val="18"/>
        <w:szCs w:val="18"/>
      </w:rPr>
      <w:t xml:space="preserve">Kentucky New Home Implied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37415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New Home Implied Warranty Reference</dc:title>
  <dc:creator>Reference</dc:creator>
  <cp:lastModifiedBy>Un-named</cp:lastModifiedBy>
  <cp:revision>1</cp:revision>
  <dcterms:created xsi:type="dcterms:W3CDTF">2026-05-17T18:07:47.119Z</dcterms:created>
  <dcterms:modified xsi:type="dcterms:W3CDTF">2026-05-17T18:07:47.119Z</dcterms:modified>
</cp:coreProperties>
</file>

<file path=docProps/custom.xml><?xml version="1.0" encoding="utf-8"?>
<Properties xmlns="http://schemas.openxmlformats.org/officeDocument/2006/custom-properties" xmlns:vt="http://schemas.openxmlformats.org/officeDocument/2006/docPropsVTypes"/>
</file>