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600"/>
              <w:left w:type="dxa" w:w="400"/>
              <w:bottom w:type="dxa" w:w="600"/>
              <w:right w:type="dxa" w:w="400"/>
            </w:tcMar>
          </w:tcPr>
          <w:p>
            <w:pPr>
              <w:spacing w:after="200"/>
              <w:jc w:val="center"/>
            </w:pPr>
            <w:r>
              <w:rPr>
                <w:rFonts w:ascii="Calibri" w:cs="Calibri" w:eastAsia="Calibri" w:hAnsi="Calibri"/>
                <w:b/>
                <w:bCs/>
                <w:color w:val="FFFFFF"/>
                <w:sz w:val="44"/>
                <w:szCs w:val="44"/>
              </w:rPr>
              <w:t xml:space="preserve">Minnesota Statutory Home Warranty</w:t>
            </w:r>
          </w:p>
          <w:p>
            <w:pPr>
              <w:jc w:val="center"/>
            </w:pPr>
            <w:r>
              <w:rPr>
                <w:rFonts w:ascii="Calibri" w:cs="Calibri" w:eastAsia="Calibri" w:hAnsi="Calibri"/>
                <w:i/>
                <w:iCs/>
                <w:color w:val="F3F4F6"/>
                <w:sz w:val="24"/>
                <w:szCs w:val="24"/>
              </w:rPr>
              <w:t xml:space="preserve">A Reference for Original Buyers and Their Advocates</w:t>
            </w:r>
          </w:p>
        </w:tc>
      </w:tr>
    </w:tbl>
    <w:p>
      <w:pPr>
        <w:spacing w:before="800"/>
      </w:pPr>
      <w:r>
        <w:t xml:space="preserve"/>
      </w:r>
    </w:p>
    <w:p>
      <w:pPr>
        <w:jc w:val="center"/>
      </w:pPr>
      <w:r>
        <w:rPr>
          <w:rFonts w:ascii="Calibri" w:cs="Calibri" w:eastAsia="Calibri" w:hAnsi="Calibri"/>
          <w:i/>
          <w:iCs/>
          <w:color w:val="374151"/>
          <w:sz w:val="22"/>
          <w:szCs w:val="22"/>
        </w:rPr>
        <w:t xml:space="preserve">General reference for Minnesota homeowners and real estate professionals.</w:t>
      </w:r>
    </w:p>
    <w:p>
      <w:pPr>
        <w:spacing w:before="100"/>
        <w:jc w:val="center"/>
      </w:pPr>
      <w:r>
        <w:rPr>
          <w:rFonts w:ascii="Calibri" w:cs="Calibri" w:eastAsia="Calibri" w:hAnsi="Calibri"/>
          <w:i/>
          <w:iCs/>
          <w:color w:val="6B7280"/>
          <w:sz w:val="22"/>
          <w:szCs w:val="22"/>
        </w:rPr>
        <w:t xml:space="preserve">Not legal advice.</w:t>
      </w:r>
    </w:p>
    <w:p>
      <w:r>
        <w:br w:type="page"/>
      </w:r>
    </w:p>
    <w:p>
      <w:pPr>
        <w:pStyle w:val="Heading1"/>
        <w:spacing w:after="200" w:before="360"/>
      </w:pPr>
      <w:r>
        <w:rPr>
          <w:rFonts w:ascii="Calibri" w:cs="Calibri" w:eastAsia="Calibri" w:hAnsi="Calibri"/>
          <w:b/>
          <w:bCs/>
          <w:color w:val="1F2937"/>
          <w:sz w:val="32"/>
          <w:szCs w:val="32"/>
        </w:rPr>
        <w:t xml:space="preserve">Executive Summary</w:t>
      </w:r>
    </w:p>
    <w:p>
      <w:pPr>
        <w:spacing w:after="120"/>
        <w:jc w:val="left"/>
      </w:pPr>
      <w:r>
        <w:rPr>
          <w:rFonts w:ascii="Calibri" w:cs="Calibri" w:eastAsia="Calibri" w:hAnsi="Calibri"/>
          <w:b w:val="false"/>
          <w:bCs w:val="false"/>
          <w:i w:val="false"/>
          <w:iCs w:val="false"/>
          <w:color w:val="111827"/>
          <w:sz w:val="22"/>
          <w:szCs w:val="22"/>
        </w:rPr>
        <w:t xml:space="preserve">Minnesota is unusual among U.S. states because it imposes a MANDATORY STATUTORY WARRANTY on every sale of a new residential dwelling. The warranty arises by operation of law under Minn. Stat. Ch. 327A. A builder-vendor cannot defeat it through silence in the purchase contract, and disclaimer language is heavily restricted. This reference summarizes the statutory framework, the mandatory pre-suit notice and inspect/repair procedure, the statute of limitations, and the parallel complaint channels available to a Minnesota homeowner discovering construction defects.</w:t>
      </w:r>
    </w:p>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The bottom line</w:t>
            </w:r>
          </w:p>
          <w:p>
            <w:pPr>
              <w:spacing w:after="60"/>
            </w:pPr>
            <w:r>
              <w:rPr>
                <w:rFonts w:ascii="Calibri" w:cs="Calibri" w:eastAsia="Calibri" w:hAnsi="Calibri"/>
                <w:color w:val="111827"/>
                <w:sz w:val="21"/>
                <w:szCs w:val="21"/>
              </w:rPr>
              <w:t xml:space="preserve">1.  Three statutory coverage periods run from the warranty date: 1 year (workmanship/materials), 2 years (plumbing, electrical, heating, cooling), 10 years (major construction defects). Minn. Stat. § 327A.02.</w:t>
            </w:r>
          </w:p>
          <w:p>
            <w:pPr>
              <w:spacing w:after="60"/>
            </w:pPr>
            <w:r>
              <w:rPr>
                <w:rFonts w:ascii="Calibri" w:cs="Calibri" w:eastAsia="Calibri" w:hAnsi="Calibri"/>
                <w:color w:val="111827"/>
                <w:sz w:val="21"/>
                <w:szCs w:val="21"/>
              </w:rPr>
              <w:t xml:space="preserve">2.  The homeowner MUST give the builder written notice of each defect within 6 MONTHS OF DISCOVERY (Minn. Stat. § 327A.03(a)). Failure to give timely notice can bar the claim.</w:t>
            </w:r>
          </w:p>
          <w:p>
            <w:pPr>
              <w:spacing w:after="60"/>
            </w:pPr>
            <w:r>
              <w:rPr>
                <w:rFonts w:ascii="Calibri" w:cs="Calibri" w:eastAsia="Calibri" w:hAnsi="Calibri"/>
                <w:color w:val="111827"/>
                <w:sz w:val="21"/>
                <w:szCs w:val="21"/>
              </w:rPr>
              <w:t xml:space="preserve">3.  After notice, the builder has 30 DAYS TO INSPECT and 15 DAYS THEREAFTER to provide a written offer to repair.</w:t>
            </w:r>
          </w:p>
          <w:p>
            <w:pPr>
              <w:spacing w:after="60"/>
            </w:pPr>
            <w:r>
              <w:rPr>
                <w:rFonts w:ascii="Calibri" w:cs="Calibri" w:eastAsia="Calibri" w:hAnsi="Calibri"/>
                <w:color w:val="111827"/>
                <w:sz w:val="21"/>
                <w:szCs w:val="21"/>
              </w:rPr>
              <w:t xml:space="preserve">4.  Suit must be filed within 2 YEARS of discovery of the breach (Minn. Stat. § 541.051, subd. 4), within a 10-YEAR OUTER STATUTE OF REPOSE from substantial completion.</w:t>
            </w:r>
          </w:p>
          <w:p>
            <w:pPr>
              <w:spacing w:after="60"/>
            </w:pPr>
            <w:r>
              <w:rPr>
                <w:rFonts w:ascii="Calibri" w:cs="Calibri" w:eastAsia="Calibri" w:hAnsi="Calibri"/>
                <w:color w:val="111827"/>
                <w:sz w:val="21"/>
                <w:szCs w:val="21"/>
              </w:rPr>
              <w:t xml:space="preserve">5.  Anti-waiver: the statute cannot be waived except by a written boldface 10-point disclaimer signed by the vendee that substitutes equivalent express warranties (Minn. Stat. § 327A.04).</w:t>
            </w:r>
          </w:p>
        </w:tc>
      </w:tr>
    </w:tbl>
    <w:p>
      <w:pPr>
        <w:spacing w:after="160"/>
      </w:pPr>
      <w:r>
        <w:t xml:space="preserve"> </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1. The Statutory Warranty — What It Covers</w:t>
            </w:r>
          </w:p>
        </w:tc>
      </w:tr>
    </w:tbl>
    <w:p>
      <w:pPr>
        <w:spacing w:after="160"/>
      </w:pPr>
      <w:r>
        <w:t xml:space="preserve"> </w:t>
      </w:r>
    </w:p>
    <w:p>
      <w:pPr>
        <w:pStyle w:val="Heading2"/>
        <w:spacing w:after="140" w:before="280"/>
      </w:pPr>
      <w:r>
        <w:rPr>
          <w:rFonts w:ascii="Calibri" w:cs="Calibri" w:eastAsia="Calibri" w:hAnsi="Calibri"/>
          <w:b/>
          <w:bCs/>
          <w:color w:val="374151"/>
          <w:sz w:val="26"/>
          <w:szCs w:val="26"/>
        </w:rPr>
        <w:t xml:space="preserve">Minn. Stat. § 327A.02 — The Three Coverage Periods</w:t>
      </w:r>
    </w:p>
    <w:p>
      <w:pPr>
        <w:spacing w:after="120"/>
        <w:jc w:val="left"/>
      </w:pPr>
      <w:r>
        <w:rPr>
          <w:rFonts w:ascii="Calibri" w:cs="Calibri" w:eastAsia="Calibri" w:hAnsi="Calibri"/>
          <w:b w:val="false"/>
          <w:bCs w:val="false"/>
          <w:i w:val="false"/>
          <w:iCs w:val="false"/>
          <w:color w:val="111827"/>
          <w:sz w:val="22"/>
          <w:szCs w:val="22"/>
        </w:rPr>
        <w:t xml:space="preserve">Every vendor of a completed dwelling, or vendor under a contract to build a dwelling, is required by statute to warrant the dwelling on three timelines: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Period</w:t>
            </w:r>
          </w:p>
        </w:tc>
        <w:tc>
          <w:tcPr>
            <w:tcW w:type="dxa" w:w="636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Coverage</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1 year from warranty date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Free from defects caused by faulty workmanship and defective materials due to noncompliance with building standards.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2 years from warranty date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Free from defects in installation of PLUMBING, ELECTRICAL, HEATING, and COOLING systems due to noncompliance with building standards.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10 years from warranty date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Free from MAJOR CONSTRUCTION DEFECTS — actual damage to the load-bearing portion of the dwelling that vitally affects use for residential purposes.</w:t>
            </w:r>
          </w:p>
        </w:tc>
      </w:tr>
    </w:tbl>
    <w:p>
      <w:pPr>
        <w:spacing w:after="160"/>
      </w:pPr>
      <w:r>
        <w:t xml:space="preserve"> </w:t>
      </w:r>
    </w:p>
    <w:p>
      <w:pPr>
        <w:spacing w:after="120"/>
        <w:jc w:val="left"/>
      </w:pPr>
      <w:r>
        <w:rPr>
          <w:rFonts w:ascii="Calibri" w:cs="Calibri" w:eastAsia="Calibri" w:hAnsi="Calibri"/>
          <w:b w:val="false"/>
          <w:bCs w:val="false"/>
          <w:i w:val="false"/>
          <w:iCs w:val="false"/>
          <w:color w:val="111827"/>
          <w:sz w:val="22"/>
          <w:szCs w:val="22"/>
        </w:rPr>
        <w:t xml:space="preserve">These warranties expressly “survive the passing of legal or equitable title in the dwelling to the vendee,” so a subsequent purchaser inherits the unexpired balance of each period.</w:t>
      </w:r>
    </w:p>
    <w:p>
      <w:pPr>
        <w:pStyle w:val="Heading2"/>
        <w:spacing w:after="140" w:before="280"/>
      </w:pPr>
      <w:r>
        <w:rPr>
          <w:rFonts w:ascii="Calibri" w:cs="Calibri" w:eastAsia="Calibri" w:hAnsi="Calibri"/>
          <w:b/>
          <w:bCs/>
          <w:color w:val="374151"/>
          <w:sz w:val="26"/>
          <w:szCs w:val="26"/>
        </w:rPr>
        <w:t xml:space="preserve">Minn. Stat. § 327A.01 — Key Definitions</w:t>
      </w:r>
    </w:p>
    <w:p>
      <w:pPr>
        <w:pStyle w:val="ListParagraph"/>
        <w:numPr>
          <w:ilvl w:val="0"/>
          <w:numId w:val="2"/>
        </w:numPr>
        <w:spacing w:after="80"/>
      </w:pPr>
      <w:r>
        <w:rPr>
          <w:rFonts w:ascii="Calibri" w:cs="Calibri" w:eastAsia="Calibri" w:hAnsi="Calibri"/>
          <w:color w:val="111827"/>
          <w:sz w:val="22"/>
          <w:szCs w:val="22"/>
        </w:rPr>
        <w:t xml:space="preserve">VENDOR: any person, firm, or corporation that constructs dwellings, including construction on land owned by the vendee. Subcontractors and material suppliers are NOT vendors under the statute.</w:t>
      </w:r>
    </w:p>
    <w:p>
      <w:pPr>
        <w:pStyle w:val="ListParagraph"/>
        <w:numPr>
          <w:ilvl w:val="0"/>
          <w:numId w:val="2"/>
        </w:numPr>
        <w:spacing w:after="80"/>
      </w:pPr>
      <w:r>
        <w:rPr>
          <w:rFonts w:ascii="Calibri" w:cs="Calibri" w:eastAsia="Calibri" w:hAnsi="Calibri"/>
          <w:color w:val="111827"/>
          <w:sz w:val="22"/>
          <w:szCs w:val="22"/>
        </w:rPr>
        <w:t xml:space="preserve">VENDEE: any purchaser, including the initial vendee AND any subsequent purchasers.</w:t>
      </w:r>
    </w:p>
    <w:p>
      <w:pPr>
        <w:pStyle w:val="ListParagraph"/>
        <w:numPr>
          <w:ilvl w:val="0"/>
          <w:numId w:val="2"/>
        </w:numPr>
        <w:spacing w:after="80"/>
      </w:pPr>
      <w:r>
        <w:rPr>
          <w:rFonts w:ascii="Calibri" w:cs="Calibri" w:eastAsia="Calibri" w:hAnsi="Calibri"/>
          <w:color w:val="111827"/>
          <w:sz w:val="22"/>
          <w:szCs w:val="22"/>
        </w:rPr>
        <w:t xml:space="preserve">DWELLING: a new building, not previously occupied, constructed for habitation. Excludes detached garages, driveways, patios, landscaping, fences, off-site improvements.</w:t>
      </w:r>
    </w:p>
    <w:p>
      <w:pPr>
        <w:pStyle w:val="ListParagraph"/>
        <w:numPr>
          <w:ilvl w:val="0"/>
          <w:numId w:val="2"/>
        </w:numPr>
        <w:spacing w:after="80"/>
      </w:pPr>
      <w:r>
        <w:rPr>
          <w:rFonts w:ascii="Calibri" w:cs="Calibri" w:eastAsia="Calibri" w:hAnsi="Calibri"/>
          <w:color w:val="111827"/>
          <w:sz w:val="22"/>
          <w:szCs w:val="22"/>
        </w:rPr>
        <w:t xml:space="preserve">WARRANTY DATE: the EARLIER of (a) the initial vendee's first occupancy, or (b) the date the initial vendee takes legal or equitable title. Not “substantial completion.”</w:t>
      </w:r>
    </w:p>
    <w:p>
      <w:pPr>
        <w:pStyle w:val="ListParagraph"/>
        <w:numPr>
          <w:ilvl w:val="0"/>
          <w:numId w:val="2"/>
        </w:numPr>
        <w:spacing w:after="80"/>
      </w:pPr>
      <w:r>
        <w:rPr>
          <w:rFonts w:ascii="Calibri" w:cs="Calibri" w:eastAsia="Calibri" w:hAnsi="Calibri"/>
          <w:color w:val="111827"/>
          <w:sz w:val="22"/>
          <w:szCs w:val="22"/>
        </w:rPr>
        <w:t xml:space="preserve">MAJOR CONSTRUCTION DEFECT: actual damage to load-bearing portions of the dwelling — including from subsidence, expansion, or lateral soil movement — that vitally affects (or is imminently likely to vitally affect) use of the dwelling for residential purposes. Damage from flood, earthquake, or other natural disaster is excluded.</w:t>
      </w:r>
    </w:p>
    <w:p>
      <w:pPr>
        <w:pStyle w:val="Heading2"/>
        <w:spacing w:after="140" w:before="280"/>
      </w:pPr>
      <w:r>
        <w:rPr>
          <w:rFonts w:ascii="Calibri" w:cs="Calibri" w:eastAsia="Calibri" w:hAnsi="Calibri"/>
          <w:b/>
          <w:bCs/>
          <w:color w:val="374151"/>
          <w:sz w:val="26"/>
          <w:szCs w:val="26"/>
        </w:rPr>
        <w:t xml:space="preserve">Minn. Stat. § 327A.03 — Exclusions, Disclaimers, and Waivers</w:t>
      </w:r>
    </w:p>
    <w:p>
      <w:pPr>
        <w:spacing w:after="120"/>
        <w:jc w:val="left"/>
      </w:pPr>
      <w:r>
        <w:rPr>
          <w:rFonts w:ascii="Calibri" w:cs="Calibri" w:eastAsia="Calibri" w:hAnsi="Calibri"/>
          <w:b w:val="false"/>
          <w:bCs w:val="false"/>
          <w:i w:val="false"/>
          <w:iCs w:val="false"/>
          <w:color w:val="111827"/>
          <w:sz w:val="22"/>
          <w:szCs w:val="22"/>
        </w:rPr>
        <w:t xml:space="preserve">The statute is anti-waiver by default. Any agreement purporting to waive the statutory warranty is VOID except in two narrow circumstances:</w:t>
      </w:r>
    </w:p>
    <w:p>
      <w:pPr>
        <w:pStyle w:val="ListParagraph"/>
        <w:numPr>
          <w:ilvl w:val="0"/>
          <w:numId w:val="2"/>
        </w:numPr>
        <w:spacing w:after="80"/>
      </w:pPr>
      <w:r>
        <w:rPr>
          <w:rFonts w:ascii="Calibri" w:cs="Calibri" w:eastAsia="Calibri" w:hAnsi="Calibri"/>
          <w:color w:val="111827"/>
          <w:sz w:val="22"/>
          <w:szCs w:val="22"/>
        </w:rPr>
        <w:t xml:space="preserve">Substitute express warranty: the vendor may modify or exclude the statutory warranty only by a written instrument printed in BOLDFACE TYPE of minimum 10-POINT SIZE, signed by the vendee, that “sets forth in detail the warranty involved.” The exclusion is ineffective unless the vendor provides substitute express warranties offering substantially the same protections.</w:t>
      </w:r>
    </w:p>
    <w:p>
      <w:pPr>
        <w:pStyle w:val="ListParagraph"/>
        <w:numPr>
          <w:ilvl w:val="0"/>
          <w:numId w:val="2"/>
        </w:numPr>
        <w:spacing w:after="80"/>
      </w:pPr>
      <w:r>
        <w:rPr>
          <w:rFonts w:ascii="Calibri" w:cs="Calibri" w:eastAsia="Calibri" w:hAnsi="Calibri"/>
          <w:color w:val="111827"/>
          <w:sz w:val="22"/>
          <w:szCs w:val="22"/>
        </w:rPr>
        <w:t xml:space="preserve">Pre-sale disclosure of a specific major defect: the 10-year warranty can be waived for one identified defect only, after full oral disclosure, by a detailed written instrument that includes an independent appraiser's valuation of the diminution caused by the defect.</w:t>
      </w:r>
    </w:p>
    <w:p>
      <w:pPr>
        <w:spacing w:after="120"/>
        <w:jc w:val="left"/>
      </w:pPr>
      <w:r>
        <w:rPr>
          <w:rFonts w:ascii="Calibri" w:cs="Calibri" w:eastAsia="Calibri" w:hAnsi="Calibri"/>
          <w:b w:val="false"/>
          <w:bCs w:val="false"/>
          <w:i w:val="false"/>
          <w:iCs w:val="false"/>
          <w:color w:val="111827"/>
          <w:sz w:val="22"/>
          <w:szCs w:val="22"/>
        </w:rPr>
        <w:t xml:space="preserve">Statutory exclusions also apply — loss caused by the homeowner, dampness from failure to maintain ventilation, normal wear and tear, and similar.</w:t>
      </w:r>
    </w:p>
    <w:p>
      <w:pPr>
        <w:pStyle w:val="Heading2"/>
        <w:spacing w:after="140" w:before="280"/>
      </w:pPr>
      <w:r>
        <w:rPr>
          <w:rFonts w:ascii="Calibri" w:cs="Calibri" w:eastAsia="Calibri" w:hAnsi="Calibri"/>
          <w:b/>
          <w:bCs/>
          <w:color w:val="374151"/>
          <w:sz w:val="26"/>
          <w:szCs w:val="26"/>
        </w:rPr>
        <w:t xml:space="preserve">Minn. Stat. § 327A.05 — Remedies</w:t>
      </w:r>
    </w:p>
    <w:p>
      <w:pPr>
        <w:spacing w:after="120"/>
        <w:jc w:val="left"/>
      </w:pPr>
      <w:r>
        <w:rPr>
          <w:rFonts w:ascii="Calibri" w:cs="Calibri" w:eastAsia="Calibri" w:hAnsi="Calibri"/>
          <w:b w:val="false"/>
          <w:bCs w:val="false"/>
          <w:i w:val="false"/>
          <w:iCs w:val="false"/>
          <w:color w:val="111827"/>
          <w:sz w:val="22"/>
          <w:szCs w:val="22"/>
        </w:rPr>
        <w:t xml:space="preserve">Upon breach the vendee has a cause of action for damages or specific performance. The statute limits damages to:</w:t>
      </w:r>
    </w:p>
    <w:p>
      <w:pPr>
        <w:pStyle w:val="ListParagraph"/>
        <w:numPr>
          <w:ilvl w:val="0"/>
          <w:numId w:val="2"/>
        </w:numPr>
        <w:spacing w:after="80"/>
      </w:pPr>
      <w:r>
        <w:rPr>
          <w:rFonts w:ascii="Calibri" w:cs="Calibri" w:eastAsia="Calibri" w:hAnsi="Calibri"/>
          <w:color w:val="111827"/>
          <w:sz w:val="22"/>
          <w:szCs w:val="22"/>
        </w:rPr>
        <w:t xml:space="preserve">(a) the amount necessary to remedy the defect (cost of repair), OR</w:t>
      </w:r>
    </w:p>
    <w:p>
      <w:pPr>
        <w:pStyle w:val="ListParagraph"/>
        <w:numPr>
          <w:ilvl w:val="0"/>
          <w:numId w:val="2"/>
        </w:numPr>
        <w:spacing w:after="80"/>
      </w:pPr>
      <w:r>
        <w:rPr>
          <w:rFonts w:ascii="Calibri" w:cs="Calibri" w:eastAsia="Calibri" w:hAnsi="Calibri"/>
          <w:color w:val="111827"/>
          <w:sz w:val="22"/>
          <w:szCs w:val="22"/>
        </w:rPr>
        <w:t xml:space="preserve">(b) the difference in value between the dwelling without the defect and with the defect (diminution in value).</w:t>
      </w:r>
    </w:p>
    <w:p>
      <w:pPr>
        <w:spacing w:after="120"/>
        <w:jc w:val="left"/>
      </w:pPr>
      <w:r>
        <w:rPr>
          <w:rFonts w:ascii="Calibri" w:cs="Calibri" w:eastAsia="Calibri" w:hAnsi="Calibri"/>
          <w:b w:val="false"/>
          <w:bCs w:val="false"/>
          <w:i w:val="false"/>
          <w:iCs w:val="false"/>
          <w:color w:val="111827"/>
          <w:sz w:val="22"/>
          <w:szCs w:val="22"/>
        </w:rPr>
        <w:t xml:space="preserve">The statute uses the connector “or” rather than awarding the greater of the two — Minnesota courts apply the appropriate measure based on the facts, typically the lesser when repair is feasible. The statute also expressly preserves remedies available under common-law claims, contract, or other statutes — including consequential damages, attorney's fees under fee-shifting statutes, and the Minnesota Private Attorney General Statute (Minn. Stat. § 8.31, subd. 3a) where applicable. Section 327A.05 itself does not award attorney's fees for the statutory-warranty claim alone.</w:t>
      </w:r>
    </w:p>
    <w:p>
      <w:pPr>
        <w:pStyle w:val="Heading2"/>
        <w:spacing w:after="140" w:before="280"/>
      </w:pPr>
      <w:r>
        <w:rPr>
          <w:rFonts w:ascii="Calibri" w:cs="Calibri" w:eastAsia="Calibri" w:hAnsi="Calibri"/>
          <w:b/>
          <w:bCs/>
          <w:color w:val="374151"/>
          <w:sz w:val="26"/>
          <w:szCs w:val="26"/>
        </w:rPr>
        <w:t xml:space="preserve">Common-Law Warranties Run Alongside</w:t>
      </w:r>
    </w:p>
    <w:p>
      <w:pPr>
        <w:spacing w:after="120"/>
        <w:jc w:val="left"/>
      </w:pPr>
      <w:r>
        <w:rPr>
          <w:rFonts w:ascii="Calibri" w:cs="Calibri" w:eastAsia="Calibri" w:hAnsi="Calibri"/>
          <w:b w:val="false"/>
          <w:bCs w:val="false"/>
          <w:i w:val="false"/>
          <w:iCs w:val="false"/>
          <w:color w:val="111827"/>
          <w:sz w:val="22"/>
          <w:szCs w:val="22"/>
        </w:rPr>
        <w:t xml:space="preserve">Section 327A.02, subd. 2 expressly states the statutory warranties are “in addition to all other warranties imposed by law or agreement.” Minnesota courts continue to recognize the common-law implied warranty that a builder-vendor will construct in a workmanlike manner and reasonably fit for habitation. The leading case on accrual of the statute of limitations is Vlahos v. R&amp;I Construction of Bloomington, Inc., 676 N.W.2d 672 (Minn. 2004) — accrual occurs when the homeowner discovers (or should have discovered) the builder's refusal or inability to honor the warranty.</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2. Time Limits — Limitations and Repose</w:t>
            </w:r>
          </w:p>
        </w:tc>
      </w:tr>
    </w:tbl>
    <w:p>
      <w:pPr>
        <w:spacing w:after="160"/>
      </w:pPr>
      <w:r>
        <w:t xml:space="preserve"> </w:t>
      </w:r>
    </w:p>
    <w:p>
      <w:pPr>
        <w:pStyle w:val="Heading2"/>
        <w:spacing w:after="140" w:before="280"/>
      </w:pPr>
      <w:r>
        <w:rPr>
          <w:rFonts w:ascii="Calibri" w:cs="Calibri" w:eastAsia="Calibri" w:hAnsi="Calibri"/>
          <w:b/>
          <w:bCs/>
          <w:color w:val="374151"/>
          <w:sz w:val="26"/>
          <w:szCs w:val="26"/>
        </w:rPr>
        <w:t xml:space="preserve">Minn. Stat. § 541.051 — Improvements to Real Property</w:t>
      </w:r>
    </w:p>
    <w:p>
      <w:pPr>
        <w:pStyle w:val="ListParagraph"/>
        <w:numPr>
          <w:ilvl w:val="0"/>
          <w:numId w:val="2"/>
        </w:numPr>
        <w:spacing w:after="80"/>
      </w:pPr>
      <w:r>
        <w:rPr>
          <w:rFonts w:ascii="Calibri" w:cs="Calibri" w:eastAsia="Calibri" w:hAnsi="Calibri"/>
          <w:color w:val="111827"/>
          <w:sz w:val="22"/>
          <w:szCs w:val="22"/>
        </w:rPr>
        <w:t xml:space="preserve">2-year limitations period from discovery of the injury (the discovery rule controls accrual).</w:t>
      </w:r>
    </w:p>
    <w:p>
      <w:pPr>
        <w:pStyle w:val="ListParagraph"/>
        <w:numPr>
          <w:ilvl w:val="0"/>
          <w:numId w:val="2"/>
        </w:numPr>
        <w:spacing w:after="80"/>
      </w:pPr>
      <w:r>
        <w:rPr>
          <w:rFonts w:ascii="Calibri" w:cs="Calibri" w:eastAsia="Calibri" w:hAnsi="Calibri"/>
          <w:color w:val="111827"/>
          <w:sz w:val="22"/>
          <w:szCs w:val="22"/>
        </w:rPr>
        <w:t xml:space="preserve">10-year statute of repose from substantial completion — an absolute outer bar.</w:t>
      </w:r>
    </w:p>
    <w:p>
      <w:pPr>
        <w:pStyle w:val="ListParagraph"/>
        <w:numPr>
          <w:ilvl w:val="0"/>
          <w:numId w:val="2"/>
        </w:numPr>
        <w:spacing w:after="80"/>
      </w:pPr>
      <w:r>
        <w:rPr>
          <w:rFonts w:ascii="Calibri" w:cs="Calibri" w:eastAsia="Calibri" w:hAnsi="Calibri"/>
          <w:color w:val="111827"/>
          <w:sz w:val="22"/>
          <w:szCs w:val="22"/>
        </w:rPr>
        <w:t xml:space="preserve">Fraud exception: limitations do not run where fraudulent concealment by the builder is proved. Construed narrowly; plaintiff bears the burden.</w:t>
      </w:r>
    </w:p>
    <w:p>
      <w:pPr>
        <w:pStyle w:val="Heading2"/>
        <w:spacing w:after="140" w:before="280"/>
      </w:pPr>
      <w:r>
        <w:rPr>
          <w:rFonts w:ascii="Calibri" w:cs="Calibri" w:eastAsia="Calibri" w:hAnsi="Calibri"/>
          <w:b/>
          <w:bCs/>
          <w:color w:val="374151"/>
          <w:sz w:val="26"/>
          <w:szCs w:val="26"/>
        </w:rPr>
        <w:t xml:space="preserve">§ 541.051, subd. 4 — Statutory Warranty Claims</w:t>
      </w:r>
    </w:p>
    <w:p>
      <w:pPr>
        <w:spacing w:after="120"/>
        <w:jc w:val="left"/>
      </w:pPr>
      <w:r>
        <w:rPr>
          <w:rFonts w:ascii="Calibri" w:cs="Calibri" w:eastAsia="Calibri" w:hAnsi="Calibri"/>
          <w:b w:val="false"/>
          <w:bCs w:val="false"/>
          <w:i w:val="false"/>
          <w:iCs w:val="false"/>
          <w:color w:val="111827"/>
          <w:sz w:val="22"/>
          <w:szCs w:val="22"/>
        </w:rPr>
        <w:t xml:space="preserve">An action for breach of the Ch. 327A statutory warranties (or any express written warranty) must be brought within 2 YEARS of discovery of the breach. Per Koes v. Advanced Design, Inc., 636 N.W.2d 352 (Minn. Ct. App. 2001), the claim is actionable so long as (a) the homeowner gives written notice within 6 months of discovery under § 327A.03(a), and (b) suit is filed within 2 years of discovery.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Practical posture</w:t>
            </w:r>
          </w:p>
          <w:p>
            <w:pPr>
              <w:spacing w:after="60"/>
            </w:pPr>
            <w:r>
              <w:rPr>
                <w:rFonts w:ascii="Calibri" w:cs="Calibri" w:eastAsia="Calibri" w:hAnsi="Calibri"/>
                <w:color w:val="111827"/>
                <w:sz w:val="21"/>
                <w:szCs w:val="21"/>
              </w:rPr>
              <w:t xml:space="preserve">Treat the date the homeowner FIRST NOTICED the defect as the start of the 6-month notice window.</w:t>
            </w:r>
          </w:p>
          <w:p>
            <w:pPr>
              <w:spacing w:after="60"/>
            </w:pPr>
            <w:r>
              <w:rPr>
                <w:rFonts w:ascii="Calibri" w:cs="Calibri" w:eastAsia="Calibri" w:hAnsi="Calibri"/>
                <w:color w:val="111827"/>
                <w:sz w:val="21"/>
                <w:szCs w:val="21"/>
              </w:rPr>
              <w:t xml:space="preserve">Suit clock runs 2 years from that same discovery date.</w:t>
            </w:r>
          </w:p>
          <w:p>
            <w:pPr>
              <w:spacing w:after="60"/>
            </w:pPr>
            <w:r>
              <w:rPr>
                <w:rFonts w:ascii="Calibri" w:cs="Calibri" w:eastAsia="Calibri" w:hAnsi="Calibri"/>
                <w:color w:val="111827"/>
                <w:sz w:val="21"/>
                <w:szCs w:val="21"/>
              </w:rPr>
              <w:t xml:space="preserve">Outer cap: 10 years from substantial completion, regardless of discovery.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3. Mandatory Notice and Opportunity to Repair</w:t>
            </w:r>
          </w:p>
        </w:tc>
      </w:tr>
    </w:tbl>
    <w:p>
      <w:pPr>
        <w:spacing w:after="160"/>
      </w:pPr>
      <w:r>
        <w:t xml:space="preserve"> </w:t>
      </w:r>
    </w:p>
    <w:p>
      <w:pPr>
        <w:spacing w:after="120"/>
        <w:jc w:val="left"/>
      </w:pPr>
      <w:r>
        <w:rPr>
          <w:rFonts w:ascii="Calibri" w:cs="Calibri" w:eastAsia="Calibri" w:hAnsi="Calibri"/>
          <w:b w:val="false"/>
          <w:bCs w:val="false"/>
          <w:i w:val="false"/>
          <w:iCs w:val="false"/>
          <w:color w:val="111827"/>
          <w:sz w:val="22"/>
          <w:szCs w:val="22"/>
        </w:rPr>
        <w:t xml:space="preserve">Skipping the statutory notice can bar the homeowner's claim outright. The procedure under Minn. Stat. § 327A.03(a) and the 2014 right-to-repair amendments is mandatory.</w:t>
      </w:r>
    </w:p>
    <w:p>
      <w:pPr>
        <w:pStyle w:val="Heading2"/>
        <w:spacing w:after="140" w:before="280"/>
      </w:pPr>
      <w:r>
        <w:rPr>
          <w:rFonts w:ascii="Calibri" w:cs="Calibri" w:eastAsia="Calibri" w:hAnsi="Calibri"/>
          <w:b/>
          <w:bCs/>
          <w:color w:val="374151"/>
          <w:sz w:val="26"/>
          <w:szCs w:val="26"/>
        </w:rPr>
        <w:t xml:space="preserve">The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Step</w:t>
            </w:r>
          </w:p>
        </w:tc>
        <w:tc>
          <w:tcPr>
            <w:tcW w:type="dxa" w:w="636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What Happens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Homeowner serves written notice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Within 6 MONTHS of discovering (or when the homeowner should have discovered) each defect. Notice describes the loss or damage.</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Builder's inspection window</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 has 30 DAYS after notice to inspect the alleged defects.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Builder's written offer to repair</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Within 15 DAYS after the inspection, the builder must provide a written offer to repair (or dispute the claim).</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Homeowner's response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Homeowner accepts, rejects, or counters the offer.</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If parties cannot agree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Either party may invoke the Home Warranty Dispute Resolution program under Minn. Stat. § 327A.051, administered by the MN Department of Labor and Industry. A qualified neutral issues a nonbinding written determination; communications are confidential settlement communications.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Consequence of skipping notice</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Failure to give timely written notice may BAR the warranty claim entirely under § 327A.03(a) unless the homeowner can prove the builder had actual notice.</w:t>
            </w:r>
          </w:p>
        </w:tc>
      </w:tr>
    </w:tbl>
    <w:p>
      <w:pPr>
        <w:spacing w:after="16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Practical drafting note</w:t>
            </w:r>
          </w:p>
          <w:p>
            <w:pPr>
              <w:spacing w:after="60"/>
            </w:pPr>
            <w:r>
              <w:rPr>
                <w:rFonts w:ascii="Calibri" w:cs="Calibri" w:eastAsia="Calibri" w:hAnsi="Calibri"/>
                <w:color w:val="111827"/>
                <w:sz w:val="21"/>
                <w:szCs w:val="21"/>
              </w:rPr>
              <w:t xml:space="preserve">The statute requires only that the notice be in writing — certified mail is not statutorily required.</w:t>
            </w:r>
          </w:p>
          <w:p>
            <w:pPr>
              <w:spacing w:after="60"/>
            </w:pPr>
            <w:r>
              <w:rPr>
                <w:rFonts w:ascii="Calibri" w:cs="Calibri" w:eastAsia="Calibri" w:hAnsi="Calibri"/>
                <w:color w:val="111827"/>
                <w:sz w:val="21"/>
                <w:szCs w:val="21"/>
              </w:rPr>
              <w:t xml:space="preserve">However, certified mail return receipt requested is the strongly preferred best practice because it preserves proof of timely receipt within the 6-month window and starts the 30-day inspection clock cleanly.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4. Demand Letter — What Must Be Inside</w:t>
            </w:r>
          </w:p>
        </w:tc>
      </w:tr>
    </w:tbl>
    <w:p>
      <w:pPr>
        <w:spacing w:after="160"/>
      </w:pPr>
      <w:r>
        <w:t xml:space="preserve"> </w:t>
      </w:r>
    </w:p>
    <w:p>
      <w:pPr>
        <w:spacing w:after="120"/>
        <w:jc w:val="left"/>
      </w:pPr>
      <w:r>
        <w:rPr>
          <w:rFonts w:ascii="Calibri" w:cs="Calibri" w:eastAsia="Calibri" w:hAnsi="Calibri"/>
          <w:b w:val="false"/>
          <w:bCs w:val="false"/>
          <w:i w:val="false"/>
          <w:iCs w:val="false"/>
          <w:color w:val="111827"/>
          <w:sz w:val="22"/>
          <w:szCs w:val="22"/>
        </w:rPr>
        <w:t xml:space="preserve">A compliant pre-suit demand letter under Minnesota law should contain every one of the following:</w:t>
      </w:r>
    </w:p>
    <w:p>
      <w:pPr>
        <w:pStyle w:val="ListParagraph"/>
        <w:numPr>
          <w:ilvl w:val="0"/>
          <w:numId w:val="2"/>
        </w:numPr>
        <w:spacing w:after="80"/>
      </w:pPr>
      <w:r>
        <w:rPr>
          <w:rFonts w:ascii="Calibri" w:cs="Calibri" w:eastAsia="Calibri" w:hAnsi="Calibri"/>
          <w:color w:val="111827"/>
          <w:sz w:val="22"/>
          <w:szCs w:val="22"/>
        </w:rPr>
        <w:t xml:space="preserve">Homeowner's full legal name(s) and the property address</w:t>
      </w:r>
    </w:p>
    <w:p>
      <w:pPr>
        <w:pStyle w:val="ListParagraph"/>
        <w:numPr>
          <w:ilvl w:val="0"/>
          <w:numId w:val="2"/>
        </w:numPr>
        <w:spacing w:after="80"/>
      </w:pPr>
      <w:r>
        <w:rPr>
          <w:rFonts w:ascii="Calibri" w:cs="Calibri" w:eastAsia="Calibri" w:hAnsi="Calibri"/>
          <w:color w:val="111827"/>
          <w:sz w:val="22"/>
          <w:szCs w:val="22"/>
        </w:rPr>
        <w:t xml:space="preserve">Date of closing, date of first occupancy, and identification of the WARRANTY DATE (earlier of the two)</w:t>
      </w:r>
    </w:p>
    <w:p>
      <w:pPr>
        <w:pStyle w:val="ListParagraph"/>
        <w:numPr>
          <w:ilvl w:val="0"/>
          <w:numId w:val="2"/>
        </w:numPr>
        <w:spacing w:after="80"/>
      </w:pPr>
      <w:r>
        <w:rPr>
          <w:rFonts w:ascii="Calibri" w:cs="Calibri" w:eastAsia="Calibri" w:hAnsi="Calibri"/>
          <w:color w:val="111827"/>
          <w:sz w:val="22"/>
          <w:szCs w:val="22"/>
        </w:rPr>
        <w:t xml:space="preserve">Confirmation that the homeowner is the initial vendee, or status as subsequent purchaser with the unexpired warranty inherited</w:t>
      </w:r>
    </w:p>
    <w:p>
      <w:pPr>
        <w:pStyle w:val="ListParagraph"/>
        <w:numPr>
          <w:ilvl w:val="0"/>
          <w:numId w:val="2"/>
        </w:numPr>
        <w:spacing w:after="80"/>
      </w:pPr>
      <w:r>
        <w:rPr>
          <w:rFonts w:ascii="Calibri" w:cs="Calibri" w:eastAsia="Calibri" w:hAnsi="Calibri"/>
          <w:color w:val="111827"/>
          <w:sz w:val="22"/>
          <w:szCs w:val="22"/>
        </w:rPr>
        <w:t xml:space="preserve">Identification of the builder/vendor, contractor, and any known subcontractors</w:t>
      </w:r>
    </w:p>
    <w:p>
      <w:pPr>
        <w:pStyle w:val="ListParagraph"/>
        <w:numPr>
          <w:ilvl w:val="0"/>
          <w:numId w:val="2"/>
        </w:numPr>
        <w:spacing w:after="80"/>
      </w:pPr>
      <w:r>
        <w:rPr>
          <w:rFonts w:ascii="Calibri" w:cs="Calibri" w:eastAsia="Calibri" w:hAnsi="Calibri"/>
          <w:color w:val="111827"/>
          <w:sz w:val="22"/>
          <w:szCs w:val="22"/>
        </w:rPr>
        <w:t xml:space="preserve">A reasonably detailed description of EACH defect with location, nature, and observed symptoms</w:t>
      </w:r>
    </w:p>
    <w:p>
      <w:pPr>
        <w:pStyle w:val="ListParagraph"/>
        <w:numPr>
          <w:ilvl w:val="0"/>
          <w:numId w:val="2"/>
        </w:numPr>
        <w:spacing w:after="80"/>
      </w:pPr>
      <w:r>
        <w:rPr>
          <w:rFonts w:ascii="Calibri" w:cs="Calibri" w:eastAsia="Calibri" w:hAnsi="Calibri"/>
          <w:color w:val="111827"/>
          <w:sz w:val="22"/>
          <w:szCs w:val="22"/>
        </w:rPr>
        <w:t xml:space="preserve">For each defect, the applicable statutory warranty tier (1-year workmanship, 2-year systems, or 10-year major construction defect) and a citation to Minn. Stat. § 327A.02</w:t>
      </w:r>
    </w:p>
    <w:p>
      <w:pPr>
        <w:pStyle w:val="ListParagraph"/>
        <w:numPr>
          <w:ilvl w:val="0"/>
          <w:numId w:val="2"/>
        </w:numPr>
        <w:spacing w:after="80"/>
      </w:pPr>
      <w:r>
        <w:rPr>
          <w:rFonts w:ascii="Calibri" w:cs="Calibri" w:eastAsia="Calibri" w:hAnsi="Calibri"/>
          <w:color w:val="111827"/>
          <w:sz w:val="22"/>
          <w:szCs w:val="22"/>
        </w:rPr>
        <w:t xml:space="preserve">Explicit invocation of Minn. Stat. § 327A.03(a) — request inspection within 30 days and written offer to repair within 15 days thereafter</w:t>
      </w:r>
    </w:p>
    <w:p>
      <w:pPr>
        <w:pStyle w:val="ListParagraph"/>
        <w:numPr>
          <w:ilvl w:val="0"/>
          <w:numId w:val="2"/>
        </w:numPr>
        <w:spacing w:after="80"/>
      </w:pPr>
      <w:r>
        <w:rPr>
          <w:rFonts w:ascii="Calibri" w:cs="Calibri" w:eastAsia="Calibri" w:hAnsi="Calibri"/>
          <w:color w:val="111827"/>
          <w:sz w:val="22"/>
          <w:szCs w:val="22"/>
        </w:rPr>
        <w:t xml:space="preserve">Reservation of rights under § 541.051 subd. 4 (2-year limitations) and § 327A.051 (DLI dispute resolution)</w:t>
      </w:r>
    </w:p>
    <w:p>
      <w:pPr>
        <w:pStyle w:val="ListParagraph"/>
        <w:numPr>
          <w:ilvl w:val="0"/>
          <w:numId w:val="2"/>
        </w:numPr>
        <w:spacing w:after="80"/>
      </w:pPr>
      <w:r>
        <w:rPr>
          <w:rFonts w:ascii="Calibri" w:cs="Calibri" w:eastAsia="Calibri" w:hAnsi="Calibri"/>
          <w:color w:val="111827"/>
          <w:sz w:val="22"/>
          <w:szCs w:val="22"/>
        </w:rPr>
        <w:t xml:space="preserve">Reservation of common-law claims (workmanlike construction, negligent construction, fraud where applicable) and consumer-protection remedies</w:t>
      </w:r>
    </w:p>
    <w:p>
      <w:pPr>
        <w:pStyle w:val="ListParagraph"/>
        <w:numPr>
          <w:ilvl w:val="0"/>
          <w:numId w:val="2"/>
        </w:numPr>
        <w:spacing w:after="80"/>
      </w:pPr>
      <w:r>
        <w:rPr>
          <w:rFonts w:ascii="Calibri" w:cs="Calibri" w:eastAsia="Calibri" w:hAnsi="Calibri"/>
          <w:color w:val="111827"/>
          <w:sz w:val="22"/>
          <w:szCs w:val="22"/>
        </w:rPr>
        <w:t xml:space="preserve">Statement of the remedy sought (repair, replacement, monetary settlement)</w:t>
      </w:r>
    </w:p>
    <w:p>
      <w:pPr>
        <w:pStyle w:val="ListParagraph"/>
        <w:numPr>
          <w:ilvl w:val="0"/>
          <w:numId w:val="2"/>
        </w:numPr>
        <w:spacing w:after="80"/>
      </w:pPr>
      <w:r>
        <w:rPr>
          <w:rFonts w:ascii="Calibri" w:cs="Calibri" w:eastAsia="Calibri" w:hAnsi="Calibri"/>
          <w:color w:val="111827"/>
          <w:sz w:val="22"/>
          <w:szCs w:val="22"/>
        </w:rPr>
        <w:t xml:space="preserve">Signature and certified-mail tracking number</w:t>
      </w:r>
    </w:p>
    <w:p>
      <w:pPr>
        <w:pStyle w:val="ListParagraph"/>
        <w:numPr>
          <w:ilvl w:val="0"/>
          <w:numId w:val="2"/>
        </w:numPr>
        <w:spacing w:after="80"/>
      </w:pPr>
      <w:r>
        <w:rPr>
          <w:rFonts w:ascii="Calibri" w:cs="Calibri" w:eastAsia="Calibri" w:hAnsi="Calibri"/>
          <w:color w:val="111827"/>
          <w:sz w:val="22"/>
          <w:szCs w:val="22"/>
        </w:rPr>
        <w:t xml:space="preserve">Attached evidence appendix — photo log, defect schedule, communications log, any inspection reports</w:t>
      </w:r>
    </w:p>
    <w:p>
      <w:pPr>
        <w:pStyle w:val="Heading2"/>
        <w:spacing w:after="140" w:before="280"/>
      </w:pPr>
      <w:r>
        <w:rPr>
          <w:rFonts w:ascii="Calibri" w:cs="Calibri" w:eastAsia="Calibri" w:hAnsi="Calibri"/>
          <w:b/>
          <w:bCs/>
          <w:color w:val="374151"/>
          <w:sz w:val="26"/>
          <w:szCs w:val="26"/>
        </w:rPr>
        <w:t xml:space="preserve">Evidence Preservation Checklist</w:t>
      </w:r>
    </w:p>
    <w:p>
      <w:pPr>
        <w:pStyle w:val="ListParagraph"/>
        <w:numPr>
          <w:ilvl w:val="0"/>
          <w:numId w:val="2"/>
        </w:numPr>
        <w:spacing w:after="80"/>
      </w:pPr>
      <w:r>
        <w:rPr>
          <w:rFonts w:ascii="Calibri" w:cs="Calibri" w:eastAsia="Calibri" w:hAnsi="Calibri"/>
          <w:color w:val="111827"/>
          <w:sz w:val="22"/>
          <w:szCs w:val="22"/>
        </w:rPr>
        <w:t xml:space="preserve">Photograph and video every defect, dated, with scale references and progression over time</w:t>
      </w:r>
    </w:p>
    <w:p>
      <w:pPr>
        <w:pStyle w:val="ListParagraph"/>
        <w:numPr>
          <w:ilvl w:val="0"/>
          <w:numId w:val="2"/>
        </w:numPr>
        <w:spacing w:after="80"/>
      </w:pPr>
      <w:r>
        <w:rPr>
          <w:rFonts w:ascii="Calibri" w:cs="Calibri" w:eastAsia="Calibri" w:hAnsi="Calibri"/>
          <w:color w:val="111827"/>
          <w:sz w:val="22"/>
          <w:szCs w:val="22"/>
        </w:rPr>
        <w:t xml:space="preserve">Retain purchase agreement, closing documents, certificate of occupancy, any builder warranty booklet, change orders, marketing materials</w:t>
      </w:r>
    </w:p>
    <w:p>
      <w:pPr>
        <w:pStyle w:val="ListParagraph"/>
        <w:numPr>
          <w:ilvl w:val="0"/>
          <w:numId w:val="2"/>
        </w:numPr>
        <w:spacing w:after="80"/>
      </w:pPr>
      <w:r>
        <w:rPr>
          <w:rFonts w:ascii="Calibri" w:cs="Calibri" w:eastAsia="Calibri" w:hAnsi="Calibri"/>
          <w:color w:val="111827"/>
          <w:sz w:val="22"/>
          <w:szCs w:val="22"/>
        </w:rPr>
        <w:t xml:space="preserve">Keep receipts for any repairs already attempted</w:t>
      </w:r>
    </w:p>
    <w:p>
      <w:pPr>
        <w:pStyle w:val="ListParagraph"/>
        <w:numPr>
          <w:ilvl w:val="0"/>
          <w:numId w:val="2"/>
        </w:numPr>
        <w:spacing w:after="80"/>
      </w:pPr>
      <w:r>
        <w:rPr>
          <w:rFonts w:ascii="Calibri" w:cs="Calibri" w:eastAsia="Calibri" w:hAnsi="Calibri"/>
          <w:color w:val="111827"/>
          <w:sz w:val="22"/>
          <w:szCs w:val="22"/>
        </w:rPr>
        <w:t xml:space="preserve">Obtain a written report from a licensed engineer or qualified third-party inspector — foundation for the demand letter and any later expert testimony</w:t>
      </w:r>
    </w:p>
    <w:p>
      <w:pPr>
        <w:pStyle w:val="ListParagraph"/>
        <w:numPr>
          <w:ilvl w:val="0"/>
          <w:numId w:val="2"/>
        </w:numPr>
        <w:spacing w:after="80"/>
      </w:pPr>
      <w:r>
        <w:rPr>
          <w:rFonts w:ascii="Calibri" w:cs="Calibri" w:eastAsia="Calibri" w:hAnsi="Calibri"/>
          <w:color w:val="111827"/>
          <w:sz w:val="22"/>
          <w:szCs w:val="22"/>
        </w:rPr>
        <w:t xml:space="preserve">DO NOT undertake destructive testing or major repairs before the builder's 30-day inspection — spoliation can defeat the claim</w:t>
      </w:r>
    </w:p>
    <w:p>
      <w:pPr>
        <w:pStyle w:val="ListParagraph"/>
        <w:numPr>
          <w:ilvl w:val="0"/>
          <w:numId w:val="2"/>
        </w:numPr>
        <w:spacing w:after="80"/>
      </w:pPr>
      <w:r>
        <w:rPr>
          <w:rFonts w:ascii="Calibri" w:cs="Calibri" w:eastAsia="Calibri" w:hAnsi="Calibri"/>
          <w:color w:val="111827"/>
          <w:sz w:val="22"/>
          <w:szCs w:val="22"/>
        </w:rPr>
        <w:t xml:space="preserve">Maintain a written log of every contact with the builder (date, time, method, substance)</w:t>
      </w:r>
    </w:p>
    <w:p>
      <w:pPr>
        <w:pStyle w:val="ListParagraph"/>
        <w:numPr>
          <w:ilvl w:val="0"/>
          <w:numId w:val="2"/>
        </w:numPr>
        <w:spacing w:after="80"/>
      </w:pPr>
      <w:r>
        <w:rPr>
          <w:rFonts w:ascii="Calibri" w:cs="Calibri" w:eastAsia="Calibri" w:hAnsi="Calibri"/>
          <w:color w:val="111827"/>
          <w:sz w:val="22"/>
          <w:szCs w:val="22"/>
        </w:rPr>
        <w:t xml:space="preserve">Preserve the certified mail green card and USPS tracking printout with the file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5. Parallel Complaint Channels</w:t>
            </w:r>
          </w:p>
        </w:tc>
      </w:tr>
    </w:tbl>
    <w:p>
      <w:pPr>
        <w:spacing w:after="160"/>
      </w:pPr>
      <w:r>
        <w:t xml:space="preserve"> </w:t>
      </w:r>
    </w:p>
    <w:p>
      <w:pPr>
        <w:spacing w:after="120"/>
        <w:jc w:val="left"/>
      </w:pPr>
      <w:r>
        <w:rPr>
          <w:rFonts w:ascii="Calibri" w:cs="Calibri" w:eastAsia="Calibri" w:hAnsi="Calibri"/>
          <w:b w:val="false"/>
          <w:bCs w:val="false"/>
          <w:i w:val="false"/>
          <w:iCs w:val="false"/>
          <w:color w:val="111827"/>
          <w:sz w:val="22"/>
          <w:szCs w:val="22"/>
        </w:rPr>
        <w:t xml:space="preserve">Use these regulatory and consumer channels in parallel with the attorney/demand-letter track — not in place of it.</w:t>
      </w:r>
    </w:p>
    <w:p>
      <w:pPr>
        <w:pStyle w:val="Heading2"/>
        <w:spacing w:after="140" w:before="280"/>
      </w:pPr>
      <w:r>
        <w:rPr>
          <w:rFonts w:ascii="Calibri" w:cs="Calibri" w:eastAsia="Calibri" w:hAnsi="Calibri"/>
          <w:b/>
          <w:bCs/>
          <w:color w:val="374151"/>
          <w:sz w:val="26"/>
          <w:szCs w:val="26"/>
        </w:rPr>
        <w:t xml:space="preserve">Minnesota Department of Labor and Industry (DLI) — Construction Codes and Licensing Division</w:t>
      </w:r>
    </w:p>
    <w:p>
      <w:pPr>
        <w:pStyle w:val="ListParagraph"/>
        <w:numPr>
          <w:ilvl w:val="0"/>
          <w:numId w:val="2"/>
        </w:numPr>
        <w:spacing w:after="80"/>
      </w:pPr>
      <w:r>
        <w:rPr>
          <w:rFonts w:ascii="Calibri" w:cs="Calibri" w:eastAsia="Calibri" w:hAnsi="Calibri"/>
          <w:color w:val="111827"/>
          <w:sz w:val="22"/>
          <w:szCs w:val="22"/>
        </w:rPr>
        <w:t xml:space="preserve">Minnesota licenses residential building contractors, remodelers, and roofers at the STATE LEVEL under Minn. Stat. Ch. 326B (administered by DLI). Verify the builder's license status before doing anything else.</w:t>
      </w:r>
    </w:p>
    <w:p>
      <w:pPr>
        <w:pStyle w:val="ListParagraph"/>
        <w:numPr>
          <w:ilvl w:val="0"/>
          <w:numId w:val="2"/>
        </w:numPr>
        <w:spacing w:after="80"/>
      </w:pPr>
      <w:r>
        <w:rPr>
          <w:rFonts w:ascii="Calibri" w:cs="Calibri" w:eastAsia="Calibri" w:hAnsi="Calibri"/>
          <w:color w:val="111827"/>
          <w:sz w:val="22"/>
          <w:szCs w:val="22"/>
        </w:rPr>
        <w:t xml:space="preserve">License search (iMS): dli.mn.gov/license-and-registration-lookup — choose “Continue as Guest”; active = status “Issued.”</w:t>
      </w:r>
    </w:p>
    <w:p>
      <w:pPr>
        <w:pStyle w:val="ListParagraph"/>
        <w:numPr>
          <w:ilvl w:val="0"/>
          <w:numId w:val="2"/>
        </w:numPr>
        <w:spacing w:after="80"/>
      </w:pPr>
      <w:r>
        <w:rPr>
          <w:rFonts w:ascii="Calibri" w:cs="Calibri" w:eastAsia="Calibri" w:hAnsi="Calibri"/>
          <w:color w:val="111827"/>
          <w:sz w:val="22"/>
          <w:szCs w:val="22"/>
        </w:rPr>
        <w:t xml:space="preserve">Complaint filing: dli.mn.gov/business/residential-contractors/residential-building-contractor-complaints</w:t>
      </w:r>
    </w:p>
    <w:p>
      <w:pPr>
        <w:pStyle w:val="ListParagraph"/>
        <w:numPr>
          <w:ilvl w:val="0"/>
          <w:numId w:val="2"/>
        </w:numPr>
        <w:spacing w:after="80"/>
      </w:pPr>
      <w:r>
        <w:rPr>
          <w:rFonts w:ascii="Calibri" w:cs="Calibri" w:eastAsia="Calibri" w:hAnsi="Calibri"/>
          <w:color w:val="111827"/>
          <w:sz w:val="22"/>
          <w:szCs w:val="22"/>
        </w:rPr>
        <w:t xml:space="preserve">Mail: Minnesota Department of Labor and Industry, Residential Building Contractors, 443 Lafayette Road N., St. Paul, MN 55155</w:t>
      </w:r>
    </w:p>
    <w:p>
      <w:pPr>
        <w:pStyle w:val="ListParagraph"/>
        <w:numPr>
          <w:ilvl w:val="0"/>
          <w:numId w:val="2"/>
        </w:numPr>
        <w:spacing w:after="80"/>
      </w:pPr>
      <w:r>
        <w:rPr>
          <w:rFonts w:ascii="Calibri" w:cs="Calibri" w:eastAsia="Calibri" w:hAnsi="Calibri"/>
          <w:color w:val="111827"/>
          <w:sz w:val="22"/>
          <w:szCs w:val="22"/>
        </w:rPr>
        <w:t xml:space="preserve">Contact: dli.contractor@state.mn.us  |  (651) 284-5069</w:t>
      </w:r>
    </w:p>
    <w:p>
      <w:pPr>
        <w:pStyle w:val="ListParagraph"/>
        <w:numPr>
          <w:ilvl w:val="0"/>
          <w:numId w:val="2"/>
        </w:numPr>
        <w:spacing w:after="80"/>
      </w:pPr>
      <w:r>
        <w:rPr>
          <w:rFonts w:ascii="Calibri" w:cs="Calibri" w:eastAsia="Calibri" w:hAnsi="Calibri"/>
          <w:color w:val="111827"/>
          <w:sz w:val="22"/>
          <w:szCs w:val="22"/>
        </w:rPr>
        <w:t xml:space="preserve">What DLI CAN do: investigate, impose civil penalties under § 326B.082, issue cease-and-desist orders, suspend or revoke the license, publish enforcement actions.</w:t>
      </w:r>
    </w:p>
    <w:p>
      <w:pPr>
        <w:pStyle w:val="ListParagraph"/>
        <w:numPr>
          <w:ilvl w:val="0"/>
          <w:numId w:val="2"/>
        </w:numPr>
        <w:spacing w:after="80"/>
      </w:pPr>
      <w:r>
        <w:rPr>
          <w:rFonts w:ascii="Calibri" w:cs="Calibri" w:eastAsia="Calibri" w:hAnsi="Calibri"/>
          <w:color w:val="111827"/>
          <w:sz w:val="22"/>
          <w:szCs w:val="22"/>
        </w:rPr>
        <w:t xml:space="preserve">What DLI CANNOT do: award monetary damages or order repairs — those are civil matters.</w:t>
      </w:r>
    </w:p>
    <w:p>
      <w:pPr>
        <w:pStyle w:val="Heading2"/>
        <w:spacing w:after="140" w:before="280"/>
      </w:pPr>
      <w:r>
        <w:rPr>
          <w:rFonts w:ascii="Calibri" w:cs="Calibri" w:eastAsia="Calibri" w:hAnsi="Calibri"/>
          <w:b/>
          <w:bCs/>
          <w:color w:val="374151"/>
          <w:sz w:val="26"/>
          <w:szCs w:val="26"/>
        </w:rPr>
        <w:t xml:space="preserve">Home Warranty Dispute Resolution — Minn. Stat. § 327A.051 (DLI program)</w:t>
      </w:r>
    </w:p>
    <w:p>
      <w:pPr>
        <w:pStyle w:val="ListParagraph"/>
        <w:numPr>
          <w:ilvl w:val="0"/>
          <w:numId w:val="2"/>
        </w:numPr>
        <w:spacing w:after="80"/>
      </w:pPr>
      <w:r>
        <w:rPr>
          <w:rFonts w:ascii="Calibri" w:cs="Calibri" w:eastAsia="Calibri" w:hAnsi="Calibri"/>
          <w:color w:val="111827"/>
          <w:sz w:val="22"/>
          <w:szCs w:val="22"/>
        </w:rPr>
        <w:t xml:space="preserve">Available after the homeowner has given § 327A.03(a) notice and the parties cannot agree on a repair offer.</w:t>
      </w:r>
    </w:p>
    <w:p>
      <w:pPr>
        <w:pStyle w:val="ListParagraph"/>
        <w:numPr>
          <w:ilvl w:val="0"/>
          <w:numId w:val="2"/>
        </w:numPr>
        <w:spacing w:after="80"/>
      </w:pPr>
      <w:r>
        <w:rPr>
          <w:rFonts w:ascii="Calibri" w:cs="Calibri" w:eastAsia="Calibri" w:hAnsi="Calibri"/>
          <w:color w:val="111827"/>
          <w:sz w:val="22"/>
          <w:szCs w:val="22"/>
        </w:rPr>
        <w:t xml:space="preserve">A qualified neutral issues a nonbinding written determination.</w:t>
      </w:r>
    </w:p>
    <w:p>
      <w:pPr>
        <w:pStyle w:val="ListParagraph"/>
        <w:numPr>
          <w:ilvl w:val="0"/>
          <w:numId w:val="2"/>
        </w:numPr>
        <w:spacing w:after="80"/>
      </w:pPr>
      <w:r>
        <w:rPr>
          <w:rFonts w:ascii="Calibri" w:cs="Calibri" w:eastAsia="Calibri" w:hAnsi="Calibri"/>
          <w:color w:val="111827"/>
          <w:sz w:val="22"/>
          <w:szCs w:val="22"/>
        </w:rPr>
        <w:t xml:space="preserve">Communications during the process are confidential settlement communications.</w:t>
      </w:r>
    </w:p>
    <w:p>
      <w:pPr>
        <w:pStyle w:val="ListParagraph"/>
        <w:numPr>
          <w:ilvl w:val="0"/>
          <w:numId w:val="2"/>
        </w:numPr>
        <w:spacing w:after="80"/>
      </w:pPr>
      <w:r>
        <w:rPr>
          <w:rFonts w:ascii="Calibri" w:cs="Calibri" w:eastAsia="Calibri" w:hAnsi="Calibri"/>
          <w:color w:val="111827"/>
          <w:sz w:val="22"/>
          <w:szCs w:val="22"/>
        </w:rPr>
        <w:t xml:space="preserve">Often the fastest substantive path short of full litigation.</w:t>
      </w:r>
    </w:p>
    <w:p>
      <w:pPr>
        <w:pStyle w:val="ListParagraph"/>
        <w:numPr>
          <w:ilvl w:val="0"/>
          <w:numId w:val="2"/>
        </w:numPr>
        <w:spacing w:after="80"/>
      </w:pPr>
      <w:r>
        <w:rPr>
          <w:rFonts w:ascii="Calibri" w:cs="Calibri" w:eastAsia="Calibri" w:hAnsi="Calibri"/>
          <w:color w:val="111827"/>
          <w:sz w:val="22"/>
          <w:szCs w:val="22"/>
        </w:rPr>
        <w:t xml:space="preserve">DLI program info: dli.mn.gov/workers/homeowners/home-warranty-dispute-resolution-process</w:t>
      </w:r>
    </w:p>
    <w:p>
      <w:pPr>
        <w:pStyle w:val="Heading2"/>
        <w:spacing w:after="140" w:before="280"/>
      </w:pPr>
      <w:r>
        <w:rPr>
          <w:rFonts w:ascii="Calibri" w:cs="Calibri" w:eastAsia="Calibri" w:hAnsi="Calibri"/>
          <w:b/>
          <w:bCs/>
          <w:color w:val="374151"/>
          <w:sz w:val="26"/>
          <w:szCs w:val="26"/>
        </w:rPr>
        <w:t xml:space="preserve">Minnesota Contractor Recovery Fund — Minn. Stat. § 326B.89</w:t>
      </w:r>
    </w:p>
    <w:p>
      <w:pPr>
        <w:pStyle w:val="ListParagraph"/>
        <w:numPr>
          <w:ilvl w:val="0"/>
          <w:numId w:val="2"/>
        </w:numPr>
        <w:spacing w:after="80"/>
      </w:pPr>
      <w:r>
        <w:rPr>
          <w:rFonts w:ascii="Calibri" w:cs="Calibri" w:eastAsia="Calibri" w:hAnsi="Calibri"/>
          <w:color w:val="111827"/>
          <w:sz w:val="22"/>
          <w:szCs w:val="22"/>
        </w:rPr>
        <w:t xml:space="preserve">State fund (financed by license-fee surcharges) the homeowner may claim against AFTER obtaining a final court judgment that the builder fails to pay.</w:t>
      </w:r>
    </w:p>
    <w:p>
      <w:pPr>
        <w:pStyle w:val="ListParagraph"/>
        <w:numPr>
          <w:ilvl w:val="0"/>
          <w:numId w:val="2"/>
        </w:numPr>
        <w:spacing w:after="80"/>
      </w:pPr>
      <w:r>
        <w:rPr>
          <w:rFonts w:ascii="Calibri" w:cs="Calibri" w:eastAsia="Calibri" w:hAnsi="Calibri"/>
          <w:color w:val="111827"/>
          <w:sz w:val="22"/>
          <w:szCs w:val="22"/>
        </w:rPr>
        <w:t xml:space="preserve">Current payment caps: $100,000 per owner/lessee per licensee  |  $550,000 aggregate per licensee. (Verify current statute — caps have been raised over time.)</w:t>
      </w:r>
    </w:p>
    <w:p>
      <w:pPr>
        <w:pStyle w:val="ListParagraph"/>
        <w:numPr>
          <w:ilvl w:val="0"/>
          <w:numId w:val="2"/>
        </w:numPr>
        <w:spacing w:after="80"/>
      </w:pPr>
      <w:r>
        <w:rPr>
          <w:rFonts w:ascii="Calibri" w:cs="Calibri" w:eastAsia="Calibri" w:hAnsi="Calibri"/>
          <w:color w:val="111827"/>
          <w:sz w:val="22"/>
          <w:szCs w:val="22"/>
        </w:rPr>
        <w:t xml:space="preserve">Hard prerequisite: a final judgment against the licensee in a Minnesota court.</w:t>
      </w:r>
    </w:p>
    <w:p>
      <w:pPr>
        <w:pStyle w:val="ListParagraph"/>
        <w:numPr>
          <w:ilvl w:val="0"/>
          <w:numId w:val="2"/>
        </w:numPr>
        <w:spacing w:after="80"/>
      </w:pPr>
      <w:r>
        <w:rPr>
          <w:rFonts w:ascii="Calibri" w:cs="Calibri" w:eastAsia="Calibri" w:hAnsi="Calibri"/>
          <w:color w:val="111827"/>
          <w:sz w:val="22"/>
          <w:szCs w:val="22"/>
        </w:rPr>
        <w:t xml:space="preserve">Application deadline: within 2 YEARS after the judgment becomes final.</w:t>
      </w:r>
    </w:p>
    <w:p>
      <w:pPr>
        <w:pStyle w:val="ListParagraph"/>
        <w:numPr>
          <w:ilvl w:val="0"/>
          <w:numId w:val="2"/>
        </w:numPr>
        <w:spacing w:after="80"/>
      </w:pPr>
      <w:r>
        <w:rPr>
          <w:rFonts w:ascii="Calibri" w:cs="Calibri" w:eastAsia="Calibri" w:hAnsi="Calibri"/>
          <w:color w:val="111827"/>
          <w:sz w:val="22"/>
          <w:szCs w:val="22"/>
        </w:rPr>
        <w:t xml:space="preserve">DLI Recovery Fund page: dli.mn.gov/workers/homeowners/contractor-recovery-fund</w:t>
      </w:r>
    </w:p>
    <w:p>
      <w:pPr>
        <w:pStyle w:val="ListParagraph"/>
        <w:numPr>
          <w:ilvl w:val="0"/>
          <w:numId w:val="2"/>
        </w:numPr>
        <w:spacing w:after="80"/>
      </w:pPr>
      <w:r>
        <w:rPr>
          <w:rFonts w:ascii="Calibri" w:cs="Calibri" w:eastAsia="Calibri" w:hAnsi="Calibri"/>
          <w:color w:val="111827"/>
          <w:sz w:val="22"/>
          <w:szCs w:val="22"/>
        </w:rPr>
        <w:t xml:space="preserve">Treat the Recovery Fund as a back-end remedy — pair with the lawsuit, not as a substitute.</w:t>
      </w:r>
    </w:p>
    <w:p>
      <w:pPr>
        <w:pStyle w:val="Heading2"/>
        <w:spacing w:after="140" w:before="280"/>
      </w:pPr>
      <w:r>
        <w:rPr>
          <w:rFonts w:ascii="Calibri" w:cs="Calibri" w:eastAsia="Calibri" w:hAnsi="Calibri"/>
          <w:b/>
          <w:bCs/>
          <w:color w:val="374151"/>
          <w:sz w:val="26"/>
          <w:szCs w:val="26"/>
        </w:rPr>
        <w:t xml:space="preserve">Minnesota Attorney General — Consumer Protection</w:t>
      </w:r>
    </w:p>
    <w:p>
      <w:pPr>
        <w:pStyle w:val="ListParagraph"/>
        <w:numPr>
          <w:ilvl w:val="0"/>
          <w:numId w:val="2"/>
        </w:numPr>
        <w:spacing w:after="80"/>
      </w:pPr>
      <w:r>
        <w:rPr>
          <w:rFonts w:ascii="Calibri" w:cs="Calibri" w:eastAsia="Calibri" w:hAnsi="Calibri"/>
          <w:color w:val="111827"/>
          <w:sz w:val="22"/>
          <w:szCs w:val="22"/>
        </w:rPr>
        <w:t xml:space="preserve">Voluntary mediation of consumer-business disputes including home building/remodeling.</w:t>
      </w:r>
    </w:p>
    <w:p>
      <w:pPr>
        <w:pStyle w:val="ListParagraph"/>
        <w:numPr>
          <w:ilvl w:val="0"/>
          <w:numId w:val="2"/>
        </w:numPr>
        <w:spacing w:after="80"/>
      </w:pPr>
      <w:r>
        <w:rPr>
          <w:rFonts w:ascii="Calibri" w:cs="Calibri" w:eastAsia="Calibri" w:hAnsi="Calibri"/>
          <w:color w:val="111827"/>
          <w:sz w:val="22"/>
          <w:szCs w:val="22"/>
        </w:rPr>
        <w:t xml:space="preserve">Online intake: ag.state.mn.us/office/Forms/ConsumerAssistanceRequest.asp</w:t>
      </w:r>
    </w:p>
    <w:p>
      <w:pPr>
        <w:pStyle w:val="ListParagraph"/>
        <w:numPr>
          <w:ilvl w:val="0"/>
          <w:numId w:val="2"/>
        </w:numPr>
        <w:spacing w:after="80"/>
      </w:pPr>
      <w:r>
        <w:rPr>
          <w:rFonts w:ascii="Calibri" w:cs="Calibri" w:eastAsia="Calibri" w:hAnsi="Calibri"/>
          <w:color w:val="111827"/>
          <w:sz w:val="22"/>
          <w:szCs w:val="22"/>
        </w:rPr>
        <w:t xml:space="preserve">Mail: Office of Minnesota Attorney General, 445 Minnesota Street, Suite 1400, St. Paul, MN 55101</w:t>
      </w:r>
    </w:p>
    <w:p>
      <w:pPr>
        <w:pStyle w:val="ListParagraph"/>
        <w:numPr>
          <w:ilvl w:val="0"/>
          <w:numId w:val="2"/>
        </w:numPr>
        <w:spacing w:after="80"/>
      </w:pPr>
      <w:r>
        <w:rPr>
          <w:rFonts w:ascii="Calibri" w:cs="Calibri" w:eastAsia="Calibri" w:hAnsi="Calibri"/>
          <w:color w:val="111827"/>
          <w:sz w:val="22"/>
          <w:szCs w:val="22"/>
        </w:rPr>
        <w:t xml:space="preserve">Phone: (651) 296-3353 (Twin Cities)  |  (800) 657-3787 (Greater MN)</w:t>
      </w:r>
    </w:p>
    <w:p>
      <w:pPr>
        <w:pStyle w:val="ListParagraph"/>
        <w:numPr>
          <w:ilvl w:val="0"/>
          <w:numId w:val="2"/>
        </w:numPr>
        <w:spacing w:after="80"/>
      </w:pPr>
      <w:r>
        <w:rPr>
          <w:rFonts w:ascii="Calibri" w:cs="Calibri" w:eastAsia="Calibri" w:hAnsi="Calibri"/>
          <w:color w:val="111827"/>
          <w:sz w:val="22"/>
          <w:szCs w:val="22"/>
        </w:rPr>
        <w:t xml:space="preserve">Resource: MN AG Home Building &amp; Remodeling handbook</w:t>
      </w:r>
    </w:p>
    <w:p>
      <w:pPr>
        <w:pStyle w:val="Heading2"/>
        <w:spacing w:after="140" w:before="280"/>
      </w:pPr>
      <w:r>
        <w:rPr>
          <w:rFonts w:ascii="Calibri" w:cs="Calibri" w:eastAsia="Calibri" w:hAnsi="Calibri"/>
          <w:b/>
          <w:bCs/>
          <w:color w:val="374151"/>
          <w:sz w:val="26"/>
          <w:szCs w:val="26"/>
        </w:rPr>
        <w:t xml:space="preserve">Local Building Inspector / City Code Enforcement</w:t>
      </w:r>
    </w:p>
    <w:p>
      <w:pPr>
        <w:pStyle w:val="ListParagraph"/>
        <w:numPr>
          <w:ilvl w:val="0"/>
          <w:numId w:val="2"/>
        </w:numPr>
        <w:spacing w:after="80"/>
      </w:pPr>
      <w:r>
        <w:rPr>
          <w:rFonts w:ascii="Calibri" w:cs="Calibri" w:eastAsia="Calibri" w:hAnsi="Calibri"/>
          <w:color w:val="111827"/>
          <w:sz w:val="22"/>
          <w:szCs w:val="22"/>
        </w:rPr>
        <w:t xml:space="preserve">Most residential permits are issued and inspected by the municipal building department under the Minnesota State Building Code (Minn. Rules Ch. 1300).</w:t>
      </w:r>
    </w:p>
    <w:p>
      <w:pPr>
        <w:pStyle w:val="ListParagraph"/>
        <w:numPr>
          <w:ilvl w:val="0"/>
          <w:numId w:val="2"/>
        </w:numPr>
        <w:spacing w:after="80"/>
      </w:pPr>
      <w:r>
        <w:rPr>
          <w:rFonts w:ascii="Calibri" w:cs="Calibri" w:eastAsia="Calibri" w:hAnsi="Calibri"/>
          <w:color w:val="111827"/>
          <w:sz w:val="22"/>
          <w:szCs w:val="22"/>
        </w:rPr>
        <w:t xml:space="preserve">Contact the building official in the municipality that issued the original permit and request a code-compliance reinspection of the items at issue, in writing, with photos.</w:t>
      </w:r>
    </w:p>
    <w:p>
      <w:pPr>
        <w:pStyle w:val="ListParagraph"/>
        <w:numPr>
          <w:ilvl w:val="0"/>
          <w:numId w:val="2"/>
        </w:numPr>
        <w:spacing w:after="80"/>
      </w:pPr>
      <w:r>
        <w:rPr>
          <w:rFonts w:ascii="Calibri" w:cs="Calibri" w:eastAsia="Calibri" w:hAnsi="Calibri"/>
          <w:color w:val="111827"/>
          <w:sz w:val="22"/>
          <w:szCs w:val="22"/>
        </w:rPr>
        <w:t xml:space="preserve">Local board-of-appeals process is available if the building official's decision is unsatisfactory — hearing within 10 working days of a properly completed application.</w:t>
      </w:r>
    </w:p>
    <w:p>
      <w:pPr>
        <w:pStyle w:val="Heading2"/>
        <w:spacing w:after="140" w:before="280"/>
      </w:pPr>
      <w:r>
        <w:rPr>
          <w:rFonts w:ascii="Calibri" w:cs="Calibri" w:eastAsia="Calibri" w:hAnsi="Calibri"/>
          <w:b/>
          <w:bCs/>
          <w:color w:val="374151"/>
          <w:sz w:val="26"/>
          <w:szCs w:val="26"/>
        </w:rPr>
        <w:t xml:space="preserve">Better Business Bureau (BBB) of Minnesota and North Dakota</w:t>
      </w:r>
    </w:p>
    <w:p>
      <w:pPr>
        <w:pStyle w:val="ListParagraph"/>
        <w:numPr>
          <w:ilvl w:val="0"/>
          <w:numId w:val="2"/>
        </w:numPr>
        <w:spacing w:after="80"/>
      </w:pPr>
      <w:r>
        <w:rPr>
          <w:rFonts w:ascii="Calibri" w:cs="Calibri" w:eastAsia="Calibri" w:hAnsi="Calibri"/>
          <w:color w:val="111827"/>
          <w:sz w:val="22"/>
          <w:szCs w:val="22"/>
        </w:rPr>
        <w:t xml:space="preserve">File at bbb.org/file-a-complaint. Builder typically asked to respond within 14 days.</w:t>
      </w:r>
    </w:p>
    <w:p>
      <w:pPr>
        <w:pStyle w:val="ListParagraph"/>
        <w:numPr>
          <w:ilvl w:val="0"/>
          <w:numId w:val="2"/>
        </w:numPr>
        <w:spacing w:after="80"/>
      </w:pPr>
      <w:r>
        <w:rPr>
          <w:rFonts w:ascii="Calibri" w:cs="Calibri" w:eastAsia="Calibri" w:hAnsi="Calibri"/>
          <w:color w:val="111827"/>
          <w:sz w:val="22"/>
          <w:szCs w:val="22"/>
        </w:rPr>
        <w:t xml:space="preserve">Documented complaint on the builder's BBB profile; BBB-facilitated mediation/arbitration if both parties agree.</w:t>
      </w:r>
    </w:p>
    <w:p>
      <w:pPr>
        <w:pStyle w:val="ListParagraph"/>
        <w:numPr>
          <w:ilvl w:val="0"/>
          <w:numId w:val="2"/>
        </w:numPr>
        <w:spacing w:after="80"/>
      </w:pPr>
      <w:r>
        <w:rPr>
          <w:rFonts w:ascii="Calibri" w:cs="Calibri" w:eastAsia="Calibri" w:hAnsi="Calibri"/>
          <w:color w:val="111827"/>
          <w:sz w:val="22"/>
          <w:szCs w:val="22"/>
        </w:rPr>
        <w:t xml:space="preserve">Not a regulator — useful for public-facing pressure and paper trail.</w:t>
      </w:r>
    </w:p>
    <w:p>
      <w:pPr>
        <w:pStyle w:val="Heading2"/>
        <w:spacing w:after="140" w:before="280"/>
      </w:pPr>
      <w:r>
        <w:rPr>
          <w:rFonts w:ascii="Calibri" w:cs="Calibri" w:eastAsia="Calibri" w:hAnsi="Calibri"/>
          <w:b/>
          <w:bCs/>
          <w:color w:val="374151"/>
          <w:sz w:val="26"/>
          <w:szCs w:val="26"/>
        </w:rPr>
        <w:t xml:space="preserve">Builder Trade Associations</w:t>
      </w:r>
    </w:p>
    <w:p>
      <w:pPr>
        <w:pStyle w:val="ListParagraph"/>
        <w:numPr>
          <w:ilvl w:val="0"/>
          <w:numId w:val="2"/>
        </w:numPr>
        <w:spacing w:after="80"/>
      </w:pPr>
      <w:r>
        <w:rPr>
          <w:rFonts w:ascii="Calibri" w:cs="Calibri" w:eastAsia="Calibri" w:hAnsi="Calibri"/>
          <w:color w:val="111827"/>
          <w:sz w:val="22"/>
          <w:szCs w:val="22"/>
        </w:rPr>
        <w:t xml:space="preserve">Housing First Minnesota (housingfirstmn.org) — Twin Cities trade association for builders and remodelers.</w:t>
      </w:r>
    </w:p>
    <w:p>
      <w:pPr>
        <w:pStyle w:val="ListParagraph"/>
        <w:numPr>
          <w:ilvl w:val="0"/>
          <w:numId w:val="2"/>
        </w:numPr>
        <w:spacing w:after="80"/>
      </w:pPr>
      <w:r>
        <w:rPr>
          <w:rFonts w:ascii="Calibri" w:cs="Calibri" w:eastAsia="Calibri" w:hAnsi="Calibri"/>
          <w:color w:val="111827"/>
          <w:sz w:val="22"/>
          <w:szCs w:val="22"/>
        </w:rPr>
        <w:t xml:space="preserve">Builders Association of Minnesota (bamn.org) — statewide group.</w:t>
      </w:r>
    </w:p>
    <w:p>
      <w:pPr>
        <w:pStyle w:val="ListParagraph"/>
        <w:numPr>
          <w:ilvl w:val="0"/>
          <w:numId w:val="2"/>
        </w:numPr>
        <w:spacing w:after="80"/>
      </w:pPr>
      <w:r>
        <w:rPr>
          <w:rFonts w:ascii="Calibri" w:cs="Calibri" w:eastAsia="Calibri" w:hAnsi="Calibri"/>
          <w:color w:val="111827"/>
          <w:sz w:val="22"/>
          <w:szCs w:val="22"/>
        </w:rPr>
        <w:t xml:space="preserve">Formal homeowner-vs.-member dispute programs were not publicly published as of the research date. If the builder is a member, calling the association directly to ask about informal mediation can sometimes help.</w:t>
      </w:r>
    </w:p>
    <w:p>
      <w:pPr>
        <w:pStyle w:val="Heading2"/>
        <w:spacing w:after="140" w:before="280"/>
      </w:pPr>
      <w:r>
        <w:rPr>
          <w:rFonts w:ascii="Calibri" w:cs="Calibri" w:eastAsia="Calibri" w:hAnsi="Calibri"/>
          <w:b/>
          <w:bCs/>
          <w:color w:val="374151"/>
          <w:sz w:val="26"/>
          <w:szCs w:val="26"/>
        </w:rPr>
        <w:t xml:space="preserve">Conciliation Court — Minn. Stat. Ch. 491A</w:t>
      </w:r>
    </w:p>
    <w:p>
      <w:pPr>
        <w:pStyle w:val="ListParagraph"/>
        <w:numPr>
          <w:ilvl w:val="0"/>
          <w:numId w:val="2"/>
        </w:numPr>
        <w:spacing w:after="80"/>
      </w:pPr>
      <w:r>
        <w:rPr>
          <w:rFonts w:ascii="Calibri" w:cs="Calibri" w:eastAsia="Calibri" w:hAnsi="Calibri"/>
          <w:color w:val="111827"/>
          <w:sz w:val="22"/>
          <w:szCs w:val="22"/>
        </w:rPr>
        <w:t xml:space="preserve">Minnesota's small-claims court. Jurisdictional cap: $20,000 for general claims; $4,000 for consumer credit transactions.</w:t>
      </w:r>
    </w:p>
    <w:p>
      <w:pPr>
        <w:pStyle w:val="ListParagraph"/>
        <w:numPr>
          <w:ilvl w:val="0"/>
          <w:numId w:val="2"/>
        </w:numPr>
        <w:spacing w:after="80"/>
      </w:pPr>
      <w:r>
        <w:rPr>
          <w:rFonts w:ascii="Calibri" w:cs="Calibri" w:eastAsia="Calibri" w:hAnsi="Calibri"/>
          <w:color w:val="111827"/>
          <w:sz w:val="22"/>
          <w:szCs w:val="22"/>
        </w:rPr>
        <w:t xml:space="preserve">Appropriate for discrete repair-cost claims under $20,000 where the homeowner does not need broader equitable relief.</w:t>
      </w:r>
    </w:p>
    <w:p>
      <w:pPr>
        <w:pStyle w:val="ListParagraph"/>
        <w:numPr>
          <w:ilvl w:val="0"/>
          <w:numId w:val="2"/>
        </w:numPr>
        <w:spacing w:after="80"/>
      </w:pPr>
      <w:r>
        <w:rPr>
          <w:rFonts w:ascii="Calibri" w:cs="Calibri" w:eastAsia="Calibri" w:hAnsi="Calibri"/>
          <w:color w:val="111827"/>
          <w:sz w:val="22"/>
          <w:szCs w:val="22"/>
        </w:rPr>
        <w:t xml:space="preserve">Decisions can be removed/appealed to district court within 20 days.</w:t>
      </w:r>
    </w:p>
    <w:p>
      <w:pPr>
        <w:pStyle w:val="Heading2"/>
        <w:spacing w:after="140" w:before="280"/>
      </w:pPr>
      <w:r>
        <w:rPr>
          <w:rFonts w:ascii="Calibri" w:cs="Calibri" w:eastAsia="Calibri" w:hAnsi="Calibri"/>
          <w:b/>
          <w:bCs/>
          <w:color w:val="374151"/>
          <w:sz w:val="26"/>
          <w:szCs w:val="26"/>
        </w:rPr>
        <w:t xml:space="preserve">District Court (Civil Division)</w:t>
      </w:r>
    </w:p>
    <w:p>
      <w:pPr>
        <w:pStyle w:val="ListParagraph"/>
        <w:numPr>
          <w:ilvl w:val="0"/>
          <w:numId w:val="2"/>
        </w:numPr>
        <w:spacing w:after="80"/>
      </w:pPr>
      <w:r>
        <w:rPr>
          <w:rFonts w:ascii="Calibri" w:cs="Calibri" w:eastAsia="Calibri" w:hAnsi="Calibri"/>
          <w:color w:val="111827"/>
          <w:sz w:val="22"/>
          <w:szCs w:val="22"/>
        </w:rPr>
        <w:t xml:space="preserve">The proper venue for any meaningful construction defect case — full damages, statutory warranty claims under Ch. 327A, breach of contract, negligent construction.</w:t>
      </w:r>
    </w:p>
    <w:p>
      <w:pPr>
        <w:pStyle w:val="ListParagraph"/>
        <w:numPr>
          <w:ilvl w:val="0"/>
          <w:numId w:val="2"/>
        </w:numPr>
        <w:spacing w:after="80"/>
      </w:pPr>
      <w:r>
        <w:rPr>
          <w:rFonts w:ascii="Calibri" w:cs="Calibri" w:eastAsia="Calibri" w:hAnsi="Calibri"/>
          <w:color w:val="111827"/>
          <w:sz w:val="22"/>
          <w:szCs w:val="22"/>
        </w:rPr>
        <w:t xml:space="preserve">Venue: district court of the COUNTY WHERE THE PROPERTY IS LOCATED.</w:t>
      </w:r>
    </w:p>
    <w:p>
      <w:pPr>
        <w:pStyle w:val="ListParagraph"/>
        <w:numPr>
          <w:ilvl w:val="0"/>
          <w:numId w:val="2"/>
        </w:numPr>
        <w:spacing w:after="80"/>
      </w:pPr>
      <w:r>
        <w:rPr>
          <w:rFonts w:ascii="Calibri" w:cs="Calibri" w:eastAsia="Calibri" w:hAnsi="Calibri"/>
          <w:color w:val="111827"/>
          <w:sz w:val="22"/>
          <w:szCs w:val="22"/>
        </w:rPr>
        <w:t xml:space="preserve">Find your court: mncourts.gov/find-courts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937" w:sz="6"/>
              <w:left w:val="single" w:color="1F2937" w:sz="6"/>
              <w:bottom w:val="single" w:color="1F2937" w:sz="6"/>
              <w:right w:val="single" w:color="1F2937" w:sz="6"/>
            </w:tcBorders>
            <w:shd w:fill="1F2937" w:val="clear"/>
            <w:tcMar>
              <w:top w:type="dxa" w:w="140"/>
              <w:left w:type="dxa" w:w="200"/>
              <w:bottom w:type="dxa" w:w="140"/>
              <w:right w:type="dxa" w:w="200"/>
            </w:tcMar>
          </w:tcPr>
          <w:p>
            <w:r>
              <w:rPr>
                <w:rFonts w:ascii="Calibri" w:cs="Calibri" w:eastAsia="Calibri" w:hAnsi="Calibri"/>
                <w:b/>
                <w:bCs/>
                <w:color w:val="FFFFFF"/>
                <w:sz w:val="26"/>
                <w:szCs w:val="26"/>
              </w:rPr>
              <w:t xml:space="preserve">6. Recommended Sequencing</w:t>
            </w:r>
          </w:p>
        </w:tc>
      </w:tr>
    </w:tbl>
    <w:p>
      <w:pPr>
        <w:spacing w:after="16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When</w:t>
            </w:r>
          </w:p>
        </w:tc>
        <w:tc>
          <w:tcPr>
            <w:tcW w:type="dxa" w:w="6360"/>
            <w:tcBorders>
              <w:top w:val="single" w:color="D1D5DB" w:sz="6"/>
              <w:left w:val="single" w:color="D1D5DB" w:sz="6"/>
              <w:bottom w:val="single" w:color="D1D5DB" w:sz="6"/>
              <w:right w:val="single" w:color="D1D5DB" w:sz="6"/>
            </w:tcBorders>
            <w:shd w:fill="1F2937" w:val="clear"/>
            <w:tcMar>
              <w:top w:type="dxa" w:w="100"/>
              <w:left w:type="dxa" w:w="140"/>
              <w:bottom w:type="dxa" w:w="100"/>
              <w:right w:type="dxa" w:w="140"/>
            </w:tcMar>
          </w:tcPr>
          <w:p>
            <w:r>
              <w:rPr>
                <w:rFonts w:ascii="Calibri" w:cs="Calibri" w:eastAsia="Calibri" w:hAnsi="Calibri"/>
                <w:b/>
                <w:bCs/>
                <w:color w:val="FFFFFF"/>
                <w:sz w:val="21"/>
                <w:szCs w:val="21"/>
              </w:rPr>
              <w:t xml:space="preserve">Action</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0</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Walk the home with the homeowner and complete a defect intake form. Take dated photos and video of every issue. Identify the warranty date (first occupancy or title transfer, whichever was earlier).</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0–3</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Verify builder license status on DLI iMS. Determine which warranty tier (1-yr, 2-yr, 10-yr) applies to each defect.</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0–7</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Obtain independent third-party inspection (engineer or licensed home inspector). Request a re-inspection from the local building official under the Minnesota State Building Code.</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7–10</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Engage Minnesota counsel. Provide the intake form, photo log, communications log, and inspection report.</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7–14</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Attorney sends Minn. Stat. § 327A.03(a) written notice by certified mail, return receipt requested — MUST be within 6 MONTHS of discovery for each defect.</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14–44</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Builder's 30-day inspection window runs. Homeowner provides reasonable access.</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44–59</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Builder's 15-day window to provide a written offer to repair.</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Day 59+</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If repair offer is acceptable, monitor execution and document. If unacceptable or no response, invoke § 327A.051 DLI dispute resolution and prepare district court action. File DLI complaint, AG consumer assistance request, and BBB complaint in parallel.</w:t>
            </w:r>
          </w:p>
        </w:tc>
      </w:tr>
      <w:tr>
        <w:tc>
          <w:tcPr>
            <w:tcW w:type="dxa" w:w="3000"/>
            <w:tcBorders>
              <w:top w:val="single" w:color="D1D5DB" w:sz="6"/>
              <w:left w:val="single" w:color="D1D5DB" w:sz="6"/>
              <w:bottom w:val="single" w:color="D1D5DB" w:sz="6"/>
              <w:right w:val="single" w:color="D1D5DB" w:sz="6"/>
            </w:tcBorders>
            <w:shd w:fill="F3F4F6"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After judgment</w:t>
            </w:r>
          </w:p>
        </w:tc>
        <w:tc>
          <w:tcPr>
            <w:tcW w:type="dxa" w:w="6360"/>
            <w:tcBorders>
              <w:top w:val="single" w:color="D1D5DB" w:sz="6"/>
              <w:left w:val="single" w:color="D1D5DB" w:sz="6"/>
              <w:bottom w:val="single" w:color="D1D5DB" w:sz="6"/>
              <w:right w:val="single" w:color="D1D5DB" w:sz="6"/>
            </w:tcBorders>
            <w:shd w:fill="FFFFFF" w:val="clear"/>
            <w:tcMar>
              <w:top w:type="dxa" w:w="100"/>
              <w:left w:type="dxa" w:w="140"/>
              <w:bottom w:type="dxa" w:w="100"/>
              <w:right w:type="dxa" w:w="140"/>
            </w:tcMar>
          </w:tcPr>
          <w:p>
            <w:r>
              <w:rPr>
                <w:rFonts w:ascii="Calibri" w:cs="Calibri" w:eastAsia="Calibri" w:hAnsi="Calibri"/>
                <w:b w:val="false"/>
                <w:bCs w:val="false"/>
                <w:color w:val="111827"/>
                <w:sz w:val="21"/>
                <w:szCs w:val="21"/>
              </w:rPr>
              <w:t xml:space="preserve">If the builder fails to pay a final judgment, file a Contractor Recovery Fund application within 2 years.</w:t>
            </w:r>
          </w:p>
        </w:tc>
      </w:tr>
    </w:tbl>
    <w:p>
      <w:r>
        <w:br w:type="page"/>
      </w:r>
    </w:p>
    <w:p>
      <w:pPr>
        <w:pStyle w:val="Heading1"/>
        <w:spacing w:after="200" w:before="360"/>
      </w:pPr>
      <w:r>
        <w:rPr>
          <w:rFonts w:ascii="Calibri" w:cs="Calibri" w:eastAsia="Calibri" w:hAnsi="Calibri"/>
          <w:b/>
          <w:bCs/>
          <w:color w:val="1F2937"/>
          <w:sz w:val="32"/>
          <w:szCs w:val="32"/>
        </w:rPr>
        <w:t xml:space="preserve">Disclaimer</w:t>
      </w:r>
    </w:p>
    <w:p>
      <w:pPr>
        <w:spacing w:after="120"/>
        <w:jc w:val="left"/>
      </w:pPr>
      <w:r>
        <w:rPr>
          <w:rFonts w:ascii="Calibri" w:cs="Calibri" w:eastAsia="Calibri" w:hAnsi="Calibri"/>
          <w:b w:val="false"/>
          <w:bCs w:val="false"/>
          <w:i w:val="false"/>
          <w:iCs w:val="false"/>
          <w:color w:val="111827"/>
          <w:sz w:val="22"/>
          <w:szCs w:val="22"/>
        </w:rPr>
        <w:t xml:space="preserve">This document is a general reference and is not legal advice. It does not create an attorney-client relationship. Statutes change, and the Contractor Recovery Fund caps and Conciliation Court jurisdictional limits have been amended over time — confirm current figures against the Revisor of Statutes before relying on them. Before any demand letter is sent, a licensed Minnesota attorney should verify each statute number and case citation against current authority and confirm the procedural sequence under Minn. Stat. §§ 327A.02, 327A.03, 327A.051, and 541.051 fits the specific facts. Always pull official Revisor / Westlaw / Lexis text for any quoted authority. The 6-month notice deadline under § 327A.03(a) is unforgiving — a homeowner who has known about a defect for more than six months should consult counsel immediately to evaluate whether actual notice can be proved or other claims can be preserved.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8"/>
        <w:szCs w:val="18"/>
      </w:rPr>
      <w:t xml:space="preserve">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of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2937" w:sz="8" w:space="4"/>
      </w:pBdr>
      <w:jc w:val="right"/>
    </w:pPr>
    <w:r>
      <w:rPr>
        <w:rFonts w:ascii="Calibri" w:cs="Calibri" w:eastAsia="Calibri" w:hAnsi="Calibri"/>
        <w:color w:val="6B7280"/>
        <w:sz w:val="18"/>
        <w:szCs w:val="18"/>
      </w:rPr>
      <w:t xml:space="preserve">Minnesota Statutory Home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37415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Statutory Home Warranty Reference</dc:title>
  <dc:creator>Reference</dc:creator>
  <cp:lastModifiedBy>Un-named</cp:lastModifiedBy>
  <cp:revision>1</cp:revision>
  <dcterms:created xsi:type="dcterms:W3CDTF">2026-05-20T22:27:35.691Z</dcterms:created>
  <dcterms:modified xsi:type="dcterms:W3CDTF">2026-05-20T22:27:35.691Z</dcterms:modified>
</cp:coreProperties>
</file>

<file path=docProps/custom.xml><?xml version="1.0" encoding="utf-8"?>
<Properties xmlns="http://schemas.openxmlformats.org/officeDocument/2006/custom-properties" xmlns:vt="http://schemas.openxmlformats.org/officeDocument/2006/docPropsVTypes"/>
</file>