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80"/>
        <w:jc w:val="center"/>
      </w:pPr>
      <w:r>
        <w:rPr>
          <w:rFonts w:ascii="Calibri" w:cs="Calibri" w:eastAsia="Calibri" w:hAnsi="Calibri"/>
          <w:b/>
          <w:bCs/>
          <w:color w:val="2B2B2B"/>
          <w:sz w:val="60"/>
          <w:szCs w:val="60"/>
        </w:rPr>
        <w:t xml:space="preserve">OHIO</w:t>
      </w:r>
    </w:p>
    <w:p>
      <w:pPr>
        <w:spacing w:after="120"/>
        <w:jc w:val="center"/>
      </w:pPr>
      <w:r>
        <w:rPr>
          <w:rFonts w:ascii="Calibri" w:cs="Calibri" w:eastAsia="Calibri" w:hAnsi="Calibri"/>
          <w:b/>
          <w:bCs/>
          <w:color w:val="2B2B2B"/>
          <w:sz w:val="36"/>
          <w:szCs w:val="36"/>
        </w:rPr>
        <w:t xml:space="preserve">New Home Construction Warranty Reference</w:t>
      </w:r>
    </w:p>
    <w:p>
      <w:pPr>
        <w:spacing w:after="720"/>
        <w:jc w:val="center"/>
      </w:pPr>
      <w:r>
        <w:rPr>
          <w:rFonts w:ascii="Calibri" w:cs="Calibri" w:eastAsia="Calibri" w:hAnsi="Calibri"/>
          <w:i/>
          <w:iCs/>
          <w:color w:val="555555"/>
          <w:sz w:val="24"/>
          <w:szCs w:val="24"/>
        </w:rPr>
        <w:t xml:space="preserve">Workmanlike-Manner Duty, Right-to-Cure, HCSSA, and Complaint Channels</w:t>
      </w:r>
    </w:p>
    <w:p>
      <w:pPr>
        <w:spacing w:after="80"/>
        <w:jc w:val="center"/>
      </w:pPr>
      <w:r>
        <w:rPr>
          <w:rFonts w:ascii="Calibri" w:cs="Calibri" w:eastAsia="Calibri" w:hAnsi="Calibri"/>
          <w:color w:val="555555"/>
          <w:sz w:val="22"/>
          <w:szCs w:val="22"/>
        </w:rPr>
        <w:t xml:space="preserve">A general reference for homeowners, real-estate professionals, and counsel</w:t>
      </w:r>
    </w:p>
    <w:p>
      <w:pPr>
        <w:spacing w:after="1200"/>
        <w:jc w:val="center"/>
      </w:pPr>
      <w:r>
        <w:rPr>
          <w:rFonts w:ascii="Calibri" w:cs="Calibri" w:eastAsia="Calibri" w:hAnsi="Calibri"/>
          <w:i/>
          <w:iCs/>
          <w:color w:val="555555"/>
          <w:sz w:val="20"/>
          <w:szCs w:val="20"/>
        </w:rPr>
        <w:t xml:space="preserve">Not legal advice — verify all citations with a licensed Ohio attorney before relying on them.</w:t>
      </w:r>
    </w:p>
    <w:p>
      <w:pPr>
        <w:spacing w:after="80"/>
        <w:jc w:val="center"/>
      </w:pPr>
      <w:r>
        <w:rPr>
          <w:rFonts w:ascii="Calibri" w:cs="Calibri" w:eastAsia="Calibri" w:hAnsi="Calibri"/>
          <w:color w:val="555555"/>
          <w:sz w:val="20"/>
          <w:szCs w:val="20"/>
        </w:rPr>
        <w:t xml:space="preserve">Edition: May 2026</w:t>
      </w:r>
    </w:p>
    <w:p>
      <w:r>
        <w:br w:type="page"/>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 Overview of Ohio's Framework</w:t>
      </w:r>
    </w:p>
    <w:p>
      <w:pPr>
        <w:spacing w:after="120" w:before="80" w:line="300"/>
        <w:jc w:val="left"/>
      </w:pPr>
      <w:r>
        <w:rPr>
          <w:rFonts w:ascii="Calibri" w:cs="Calibri" w:eastAsia="Calibri" w:hAnsi="Calibri"/>
          <w:b w:val="false"/>
          <w:bCs w:val="false"/>
          <w:i w:val="false"/>
          <w:iCs w:val="false"/>
          <w:color w:val="2B2B2B"/>
          <w:sz w:val="22"/>
          <w:szCs w:val="22"/>
        </w:rPr>
        <w:t xml:space="preserve">Ohio's protection for the buyer of a newly constructed home is built from three overlapping layers. Unlike Minnesota's single statutory warranty under Chapter 327A, no one Ohio statute creates a comprehensive new-home warranty. The homeowner's leverage depends on which layers apply to the facts of the case.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Common-law implied duty to construct in a workmanlike manner </w:t>
      </w:r>
      <w:r>
        <w:rPr>
          <w:rFonts w:ascii="Calibri" w:cs="Calibri" w:eastAsia="Calibri" w:hAnsi="Calibri"/>
          <w:color w:val="2B2B2B"/>
          <w:sz w:val="22"/>
          <w:szCs w:val="22"/>
        </w:rPr>
        <w:t xml:space="preserve">— a judicially created duty originating in </w:t>
      </w:r>
      <w:r>
        <w:rPr>
          <w:rFonts w:ascii="Calibri" w:cs="Calibri" w:eastAsia="Calibri" w:hAnsi="Calibri"/>
          <w:b w:val="false"/>
          <w:bCs w:val="false"/>
          <w:i/>
          <w:iCs/>
          <w:color w:val="2B2B2B"/>
          <w:sz w:val="22"/>
          <w:szCs w:val="22"/>
        </w:rPr>
        <w:t xml:space="preserve">Vanderschrier v. Aaron</w:t>
      </w:r>
      <w:r>
        <w:rPr>
          <w:rFonts w:ascii="Calibri" w:cs="Calibri" w:eastAsia="Calibri" w:hAnsi="Calibri"/>
          <w:color w:val="2B2B2B"/>
          <w:sz w:val="22"/>
          <w:szCs w:val="22"/>
        </w:rPr>
        <w:t xml:space="preserve"> (1957) and refined by </w:t>
      </w:r>
      <w:r>
        <w:rPr>
          <w:rFonts w:ascii="Calibri" w:cs="Calibri" w:eastAsia="Calibri" w:hAnsi="Calibri"/>
          <w:b w:val="false"/>
          <w:bCs w:val="false"/>
          <w:i/>
          <w:iCs/>
          <w:color w:val="2B2B2B"/>
          <w:sz w:val="22"/>
          <w:szCs w:val="22"/>
        </w:rPr>
        <w:t xml:space="preserve">Mitchem v. Johnson</w:t>
      </w:r>
      <w:r>
        <w:rPr>
          <w:rFonts w:ascii="Calibri" w:cs="Calibri" w:eastAsia="Calibri" w:hAnsi="Calibri"/>
          <w:color w:val="2B2B2B"/>
          <w:sz w:val="22"/>
          <w:szCs w:val="22"/>
        </w:rPr>
        <w:t xml:space="preserve"> (1966), </w:t>
      </w:r>
      <w:r>
        <w:rPr>
          <w:rFonts w:ascii="Calibri" w:cs="Calibri" w:eastAsia="Calibri" w:hAnsi="Calibri"/>
          <w:b w:val="false"/>
          <w:bCs w:val="false"/>
          <w:i/>
          <w:iCs/>
          <w:color w:val="2B2B2B"/>
          <w:sz w:val="22"/>
          <w:szCs w:val="22"/>
        </w:rPr>
        <w:t xml:space="preserve">Velotta v. Leo Petronzio Landscaping</w:t>
      </w:r>
      <w:r>
        <w:rPr>
          <w:rFonts w:ascii="Calibri" w:cs="Calibri" w:eastAsia="Calibri" w:hAnsi="Calibri"/>
          <w:color w:val="2B2B2B"/>
          <w:sz w:val="22"/>
          <w:szCs w:val="22"/>
        </w:rPr>
        <w:t xml:space="preserve"> (1982), and </w:t>
      </w:r>
      <w:r>
        <w:rPr>
          <w:rFonts w:ascii="Calibri" w:cs="Calibri" w:eastAsia="Calibri" w:hAnsi="Calibri"/>
          <w:b w:val="false"/>
          <w:bCs w:val="false"/>
          <w:i/>
          <w:iCs/>
          <w:color w:val="2B2B2B"/>
          <w:sz w:val="22"/>
          <w:szCs w:val="22"/>
        </w:rPr>
        <w:t xml:space="preserve">Jones v. Centex Homes</w:t>
      </w:r>
      <w:r>
        <w:rPr>
          <w:rFonts w:ascii="Calibri" w:cs="Calibri" w:eastAsia="Calibri" w:hAnsi="Calibri"/>
          <w:color w:val="2B2B2B"/>
          <w:sz w:val="22"/>
          <w:szCs w:val="22"/>
        </w:rPr>
        <w:t xml:space="preserve"> (2012). It cannot be waived by contract.</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Ohio's Right-to-Cure Act — Revised Code Chapter 1312 </w:t>
      </w:r>
      <w:r>
        <w:rPr>
          <w:rFonts w:ascii="Calibri" w:cs="Calibri" w:eastAsia="Calibri" w:hAnsi="Calibri"/>
          <w:color w:val="2B2B2B"/>
          <w:sz w:val="22"/>
          <w:szCs w:val="22"/>
        </w:rPr>
        <w:t xml:space="preserve">— mandatory pre-suit notice scheme. The homeowner must give the builder 60 days' written notice of each defect before filing suit or commencing arbitration. The builder has 21 days to respond. Failure to give notice requires dismissal of the lawsuit without prejudice.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Home Construction Service Suppliers Act — Revised Code Chapter 4722 </w:t>
      </w:r>
      <w:r>
        <w:rPr>
          <w:rFonts w:ascii="Calibri" w:cs="Calibri" w:eastAsia="Calibri" w:hAnsi="Calibri"/>
          <w:color w:val="2B2B2B"/>
          <w:sz w:val="22"/>
          <w:szCs w:val="22"/>
        </w:rPr>
        <w:t xml:space="preserve">— effective July 3, 2012 and substantially amended by HB 50 effective September 20, 2024. Imposes written-contract requirements on all home construction services costing $25,000 or more, including remodeling and renovation. Violations are unfair or deceptive acts but damages are limited to the statute's own remedies; the Consumer Sales Practices Act's treble damages do not apply to HCSSA-covered contracts.</w:t>
      </w:r>
    </w:p>
    <w:p>
      <w:pPr>
        <w:spacing w:after="80" w:before="160" w:line="300"/>
        <w:jc w:val="left"/>
      </w:pPr>
      <w:r>
        <w:rPr>
          <w:rFonts w:ascii="Calibri" w:cs="Calibri" w:eastAsia="Calibri" w:hAnsi="Calibri"/>
          <w:b w:val="false"/>
          <w:bCs w:val="false"/>
          <w:i w:val="false"/>
          <w:iCs w:val="false"/>
          <w:color w:val="2B2B2B"/>
          <w:sz w:val="22"/>
          <w:szCs w:val="22"/>
        </w:rPr>
        <w:t xml:space="preserve">Two background features make Ohio different from many neighboring states:</w:t>
      </w:r>
    </w:p>
    <w:p>
      <w:pPr>
        <w:pStyle w:val="ListParagraph"/>
        <w:numPr>
          <w:ilvl w:val="0"/>
          <w:numId w:val="3"/>
        </w:numPr>
        <w:spacing w:after="60" w:before="60" w:line="280"/>
      </w:pPr>
      <w:r>
        <w:rPr>
          <w:rFonts w:ascii="Calibri" w:cs="Calibri" w:eastAsia="Calibri" w:hAnsi="Calibri"/>
          <w:color w:val="2B2B2B"/>
          <w:sz w:val="22"/>
          <w:szCs w:val="22"/>
        </w:rPr>
        <w:t xml:space="preserve">Ohio does not license residential general contractors at the state level. The Ohio Construction Industry Licensing Board (OCILB) licenses only five specialty trades — electrical, plumbing, HVAC, hydronics, and refrigeration. General contractor licensing exists only where the city or county where the property sits imposes its own registration. Cleveland, Columbus, Cincinnati, and many suburbs do; many smaller jurisdictions do not.</w:t>
      </w:r>
    </w:p>
    <w:p>
      <w:pPr>
        <w:pStyle w:val="ListParagraph"/>
        <w:numPr>
          <w:ilvl w:val="0"/>
          <w:numId w:val="3"/>
        </w:numPr>
        <w:spacing w:after="60" w:before="60" w:line="280"/>
      </w:pPr>
      <w:r>
        <w:rPr>
          <w:rFonts w:ascii="Calibri" w:cs="Calibri" w:eastAsia="Calibri" w:hAnsi="Calibri"/>
          <w:color w:val="2B2B2B"/>
          <w:sz w:val="22"/>
          <w:szCs w:val="22"/>
        </w:rPr>
        <w:t xml:space="preserve">Ohio's statute of repose under Revised Code § 2305.131 is an absolute 10-year ceiling running from substantial completion. It applies to both tort and contract claims (confirmed by New Riegel Local School District v. Buehrer Group Architecture &amp; Engineering, 2019). The 10-year cap is the outer wall for everything except a written express warranty that explicitly extends beyond ten years and certain fraud claims.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2. The Implied Duty to Construct in a Workmanlike Manner</w:t>
      </w:r>
    </w:p>
    <w:p>
      <w:pPr>
        <w:pStyle w:val="Heading2"/>
        <w:keepNext/>
        <w:spacing w:after="120" w:before="260"/>
      </w:pPr>
      <w:r>
        <w:rPr>
          <w:rFonts w:ascii="Calibri" w:cs="Calibri" w:eastAsia="Calibri" w:hAnsi="Calibri"/>
          <w:b/>
          <w:bCs/>
          <w:color w:val="2B2B2B"/>
          <w:sz w:val="28"/>
          <w:szCs w:val="28"/>
        </w:rPr>
        <w:t xml:space="preserve">Origins and standard</w:t>
      </w:r>
    </w:p>
    <w:p>
      <w:pPr>
        <w:spacing w:after="80" w:before="80" w:line="300"/>
        <w:jc w:val="left"/>
      </w:pPr>
      <w:r>
        <w:rPr>
          <w:rFonts w:ascii="Calibri" w:cs="Calibri" w:eastAsia="Calibri" w:hAnsi="Calibri"/>
          <w:b w:val="false"/>
          <w:bCs w:val="false"/>
          <w:i/>
          <w:iCs/>
          <w:color w:val="2B2B2B"/>
          <w:sz w:val="22"/>
          <w:szCs w:val="22"/>
        </w:rPr>
        <w:t xml:space="preserve">Vanderschrier v. Aaron</w:t>
      </w:r>
      <w:r>
        <w:rPr>
          <w:rFonts w:ascii="Calibri" w:cs="Calibri" w:eastAsia="Calibri" w:hAnsi="Calibri"/>
          <w:color w:val="2B2B2B"/>
          <w:sz w:val="22"/>
          <w:szCs w:val="22"/>
        </w:rPr>
        <w:t xml:space="preserve">, 103 Ohio App. 340, 140 N.E.2d 819 (8th Dist. 1957), was Ohio's first significant new-home warranty case, recognizing an implied bargain that a home sold mid-construction would be reasonably fit for its intended use and built in a reasonably efficient, workmanlike manner.</w:t>
      </w:r>
    </w:p>
    <w:p>
      <w:pPr>
        <w:spacing w:after="80" w:before="80" w:line="300"/>
        <w:jc w:val="left"/>
      </w:pPr>
      <w:r>
        <w:rPr>
          <w:rFonts w:ascii="Calibri" w:cs="Calibri" w:eastAsia="Calibri" w:hAnsi="Calibri"/>
          <w:b w:val="false"/>
          <w:bCs w:val="false"/>
          <w:i/>
          <w:iCs/>
          <w:color w:val="2B2B2B"/>
          <w:sz w:val="22"/>
          <w:szCs w:val="22"/>
        </w:rPr>
        <w:t xml:space="preserve">Mitchem v. Johnson</w:t>
      </w:r>
      <w:r>
        <w:rPr>
          <w:rFonts w:ascii="Calibri" w:cs="Calibri" w:eastAsia="Calibri" w:hAnsi="Calibri"/>
          <w:color w:val="2B2B2B"/>
          <w:sz w:val="22"/>
          <w:szCs w:val="22"/>
        </w:rPr>
        <w:t xml:space="preserve">, 7 Ohio St. 2d 66, 218 N.E.2d 574 (1966), is the foundational Ohio Supreme Court decision. The Court declined to adopt a strict implied warranty of suitability for habitation but held that a builder-vendor owes an implied duty to construct the home in a workmanlike manner and to employ the care and skill commensurate with the gravity of the risk involved. The standard is ordinary care of a competent builder — not strict liability.</w:t>
      </w:r>
    </w:p>
    <w:p>
      <w:pPr>
        <w:pStyle w:val="Heading2"/>
        <w:keepNext/>
        <w:spacing w:after="120" w:before="260"/>
      </w:pPr>
      <w:r>
        <w:rPr>
          <w:rFonts w:ascii="Calibri" w:cs="Calibri" w:eastAsia="Calibri" w:hAnsi="Calibri"/>
          <w:b/>
          <w:bCs/>
          <w:color w:val="2B2B2B"/>
          <w:sz w:val="28"/>
          <w:szCs w:val="28"/>
        </w:rPr>
        <w:t xml:space="preserve">Tort or contract?</w:t>
      </w:r>
    </w:p>
    <w:p>
      <w:pPr>
        <w:spacing w:after="80" w:before="80" w:line="300"/>
        <w:jc w:val="left"/>
      </w:pPr>
      <w:r>
        <w:rPr>
          <w:rFonts w:ascii="Calibri" w:cs="Calibri" w:eastAsia="Calibri" w:hAnsi="Calibri"/>
          <w:b w:val="false"/>
          <w:bCs w:val="false"/>
          <w:i/>
          <w:iCs/>
          <w:color w:val="2B2B2B"/>
          <w:sz w:val="22"/>
          <w:szCs w:val="22"/>
        </w:rPr>
        <w:t xml:space="preserve">Velotta v. Leo Petronzio Landscaping, Inc.</w:t>
      </w:r>
      <w:r>
        <w:rPr>
          <w:rFonts w:ascii="Calibri" w:cs="Calibri" w:eastAsia="Calibri" w:hAnsi="Calibri"/>
          <w:color w:val="2B2B2B"/>
          <w:sz w:val="22"/>
          <w:szCs w:val="22"/>
        </w:rPr>
        <w:t xml:space="preserve">, 69 Ohio St. 2d 376, 433 N.E.2d 147 (1982), held that an action by the buyer of a completed residence against a builder-vendor for failure to construct in a workmanlike manner is an action in tort to which the four-year limitations period of Revised Code § 2305.09 applies. </w:t>
      </w:r>
      <w:r>
        <w:rPr>
          <w:rFonts w:ascii="Calibri" w:cs="Calibri" w:eastAsia="Calibri" w:hAnsi="Calibri"/>
          <w:b w:val="false"/>
          <w:bCs w:val="false"/>
          <w:i/>
          <w:iCs/>
          <w:color w:val="2B2B2B"/>
          <w:sz w:val="22"/>
          <w:szCs w:val="22"/>
        </w:rPr>
        <w:t xml:space="preserve">Kishmarton v. William Bailey Construction, Inc.</w:t>
      </w:r>
      <w:r>
        <w:rPr>
          <w:rFonts w:ascii="Calibri" w:cs="Calibri" w:eastAsia="Calibri" w:hAnsi="Calibri"/>
          <w:color w:val="2B2B2B"/>
          <w:sz w:val="22"/>
          <w:szCs w:val="22"/>
        </w:rPr>
        <w:t xml:space="preserve">, 93 Ohio St. 3d 226, 754 N.E.2d 785 (2001), clarified that where the homeowner contracts for the future construction of a residence (a build-to-suit arrangement rather than the purchase of an already-completed spec home), the breach-of-workmanlike-manner claim sounds in contract.</w:t>
      </w:r>
    </w:p>
    <w:p>
      <w:pPr>
        <w:spacing w:after="80" w:before="80" w:line="300"/>
        <w:jc w:val="left"/>
      </w:pPr>
      <w:r>
        <w:rPr>
          <w:rFonts w:ascii="Calibri" w:cs="Calibri" w:eastAsia="Calibri" w:hAnsi="Calibri"/>
          <w:b/>
          <w:bCs/>
          <w:i w:val="false"/>
          <w:iCs w:val="false"/>
          <w:color w:val="2B2B2B"/>
          <w:sz w:val="22"/>
          <w:szCs w:val="22"/>
        </w:rPr>
        <w:t xml:space="preserve">Practical line. </w:t>
      </w:r>
      <w:r>
        <w:rPr>
          <w:rFonts w:ascii="Calibri" w:cs="Calibri" w:eastAsia="Calibri" w:hAnsi="Calibri"/>
          <w:color w:val="2B2B2B"/>
          <w:sz w:val="22"/>
          <w:szCs w:val="22"/>
        </w:rPr>
        <w:t xml:space="preserve">Completed home that the buyer purchased after construction = </w:t>
      </w:r>
      <w:r>
        <w:rPr>
          <w:rFonts w:ascii="Calibri" w:cs="Calibri" w:eastAsia="Calibri" w:hAnsi="Calibri"/>
          <w:b w:val="false"/>
          <w:bCs w:val="false"/>
          <w:i/>
          <w:iCs/>
          <w:color w:val="2B2B2B"/>
          <w:sz w:val="22"/>
          <w:szCs w:val="22"/>
        </w:rPr>
        <w:t xml:space="preserve">Velotta</w:t>
      </w:r>
      <w:r>
        <w:rPr>
          <w:rFonts w:ascii="Calibri" w:cs="Calibri" w:eastAsia="Calibri" w:hAnsi="Calibri"/>
          <w:color w:val="2B2B2B"/>
          <w:sz w:val="22"/>
          <w:szCs w:val="22"/>
        </w:rPr>
        <w:t xml:space="preserve"> tort claim with the four-year clock under § 2305.09. Future-construction contract where the buyer engaged the builder to build = </w:t>
      </w:r>
      <w:r>
        <w:rPr>
          <w:rFonts w:ascii="Calibri" w:cs="Calibri" w:eastAsia="Calibri" w:hAnsi="Calibri"/>
          <w:b w:val="false"/>
          <w:bCs w:val="false"/>
          <w:i/>
          <w:iCs/>
          <w:color w:val="2B2B2B"/>
          <w:sz w:val="22"/>
          <w:szCs w:val="22"/>
        </w:rPr>
        <w:t xml:space="preserve">Kishmarton</w:t>
      </w:r>
      <w:r>
        <w:rPr>
          <w:rFonts w:ascii="Calibri" w:cs="Calibri" w:eastAsia="Calibri" w:hAnsi="Calibri"/>
          <w:color w:val="2B2B2B"/>
          <w:sz w:val="22"/>
          <w:szCs w:val="22"/>
        </w:rPr>
        <w:t xml:space="preserve"> contract claim with the six-year written-contract clock under § 2305.06 or the four-year clock under § 2305.07 if the contract is oral or implied.</w:t>
      </w:r>
    </w:p>
    <w:p>
      <w:pPr>
        <w:pStyle w:val="Heading2"/>
        <w:keepNext/>
        <w:spacing w:after="120" w:before="260"/>
      </w:pPr>
      <w:r>
        <w:rPr>
          <w:rFonts w:ascii="Calibri" w:cs="Calibri" w:eastAsia="Calibri" w:hAnsi="Calibri"/>
          <w:b/>
          <w:bCs/>
          <w:color w:val="2B2B2B"/>
          <w:sz w:val="28"/>
          <w:szCs w:val="28"/>
        </w:rPr>
        <w:t xml:space="preserve">Privity is not required for the tort claim</w:t>
      </w:r>
    </w:p>
    <w:p>
      <w:pPr>
        <w:spacing w:after="80" w:before="80" w:line="300"/>
        <w:jc w:val="left"/>
      </w:pPr>
      <w:r>
        <w:rPr>
          <w:rFonts w:ascii="Calibri" w:cs="Calibri" w:eastAsia="Calibri" w:hAnsi="Calibri"/>
          <w:b w:val="false"/>
          <w:bCs w:val="false"/>
          <w:i/>
          <w:iCs/>
          <w:color w:val="2B2B2B"/>
          <w:sz w:val="22"/>
          <w:szCs w:val="22"/>
        </w:rPr>
        <w:t xml:space="preserve">McMillan v. Brune-Harpenau-Torbeck Builders, Inc.</w:t>
      </w:r>
      <w:r>
        <w:rPr>
          <w:rFonts w:ascii="Calibri" w:cs="Calibri" w:eastAsia="Calibri" w:hAnsi="Calibri"/>
          <w:color w:val="2B2B2B"/>
          <w:sz w:val="22"/>
          <w:szCs w:val="22"/>
        </w:rPr>
        <w:t xml:space="preserve">, 8 Ohio St. 3d 3, 455 N.E.2d 1276 (1983), held that privity of contract is not required in a negligence action against a builder. Subsequent purchasers — second or third owners of the home — can sue the original builder for latent defects in tort. Warranty claims sounding in contract still require privity, so subsequent purchasers generally cannot prosecute a contract-based workmanlike-manner claim.</w:t>
      </w:r>
    </w:p>
    <w:p>
      <w:pPr>
        <w:pStyle w:val="Heading2"/>
        <w:keepNext/>
        <w:spacing w:after="120" w:before="260"/>
      </w:pPr>
      <w:r>
        <w:rPr>
          <w:rFonts w:ascii="Calibri" w:cs="Calibri" w:eastAsia="Calibri" w:hAnsi="Calibri"/>
          <w:b/>
          <w:bCs/>
          <w:color w:val="2B2B2B"/>
          <w:sz w:val="28"/>
          <w:szCs w:val="28"/>
        </w:rPr>
        <w:t xml:space="preserve">The duty cannot be waived</w:t>
      </w:r>
    </w:p>
    <w:p>
      <w:pPr>
        <w:spacing w:after="80" w:before="80" w:line="300"/>
        <w:jc w:val="left"/>
      </w:pPr>
      <w:r>
        <w:rPr>
          <w:rFonts w:ascii="Calibri" w:cs="Calibri" w:eastAsia="Calibri" w:hAnsi="Calibri"/>
          <w:b w:val="false"/>
          <w:bCs w:val="false"/>
          <w:i/>
          <w:iCs/>
          <w:color w:val="2B2B2B"/>
          <w:sz w:val="22"/>
          <w:szCs w:val="22"/>
        </w:rPr>
        <w:t xml:space="preserve">Jones v. Centex Homes</w:t>
      </w:r>
      <w:r>
        <w:rPr>
          <w:rFonts w:ascii="Calibri" w:cs="Calibri" w:eastAsia="Calibri" w:hAnsi="Calibri"/>
          <w:color w:val="2B2B2B"/>
          <w:sz w:val="22"/>
          <w:szCs w:val="22"/>
        </w:rPr>
        <w:t xml:space="preserve">, 132 Ohio St. 3d 1, 2012-Ohio-1001, 967 N.E.2d 1199, held unanimously that the implied duty to construct in a workmanlike manner cannot be waived by contract, even by conspicuous limited-warranty disclaimers. Production-builder forms purporting to disclaim implied warranties do not eliminate the workmanlike-manner duty. This is a meaningful distinction from many other states, including Alabama, where written disclaimers extinguish the implied warranty.</w:t>
      </w:r>
    </w:p>
    <w:p>
      <w:pPr>
        <w:pStyle w:val="Heading2"/>
        <w:keepNext/>
        <w:spacing w:after="120" w:before="260"/>
      </w:pPr>
      <w:r>
        <w:rPr>
          <w:rFonts w:ascii="Calibri" w:cs="Calibri" w:eastAsia="Calibri" w:hAnsi="Calibri"/>
          <w:b/>
          <w:bCs/>
          <w:color w:val="2B2B2B"/>
          <w:sz w:val="28"/>
          <w:szCs w:val="28"/>
        </w:rPr>
        <w:t xml:space="preserve">Scope</w:t>
      </w:r>
    </w:p>
    <w:p>
      <w:pPr>
        <w:spacing w:after="80" w:before="80" w:line="300"/>
        <w:jc w:val="left"/>
      </w:pPr>
      <w:r>
        <w:rPr>
          <w:rFonts w:ascii="Calibri" w:cs="Calibri" w:eastAsia="Calibri" w:hAnsi="Calibri"/>
          <w:b w:val="false"/>
          <w:bCs w:val="false"/>
          <w:i w:val="false"/>
          <w:iCs w:val="false"/>
          <w:color w:val="2B2B2B"/>
          <w:sz w:val="22"/>
          <w:szCs w:val="22"/>
        </w:rPr>
        <w:t xml:space="preserve">Latent defects affecting structural integrity, habitability, and the workmanlike quality of construction. Cosmetic complaints do not qualify. The duty applies to the construction, not to design choices the homeowner made or specifications the homeowner approved.</w:t>
      </w:r>
    </w:p>
    <w:p>
      <w:pPr>
        <w:pStyle w:val="Heading2"/>
        <w:keepNext/>
        <w:spacing w:after="120" w:before="260"/>
      </w:pPr>
      <w:r>
        <w:rPr>
          <w:rFonts w:ascii="Calibri" w:cs="Calibri" w:eastAsia="Calibri" w:hAnsi="Calibri"/>
          <w:b/>
          <w:bCs/>
          <w:color w:val="2B2B2B"/>
          <w:sz w:val="28"/>
          <w:szCs w:val="28"/>
        </w:rPr>
        <w:t xml:space="preserve">Damages</w:t>
      </w:r>
    </w:p>
    <w:p>
      <w:pPr>
        <w:spacing w:after="80" w:before="80" w:line="300"/>
        <w:jc w:val="left"/>
      </w:pPr>
      <w:r>
        <w:rPr>
          <w:rFonts w:ascii="Calibri" w:cs="Calibri" w:eastAsia="Calibri" w:hAnsi="Calibri"/>
          <w:b w:val="false"/>
          <w:bCs w:val="false"/>
          <w:i w:val="false"/>
          <w:iCs w:val="false"/>
          <w:color w:val="2B2B2B"/>
          <w:sz w:val="22"/>
          <w:szCs w:val="22"/>
        </w:rPr>
        <w:t xml:space="preserve">Cost of repair or diminution in market value, whichever is reasonable in the circumstances. Emotional-distress damages are not recoverable on a workmanlike-manner claim alone unless the breach caused bodily harm or serious emotional distress was a particularly likely consequence.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3. The Right-to-Cure Act — Revised Code Chapter 1312</w:t>
      </w:r>
    </w:p>
    <w:p>
      <w:pPr>
        <w:spacing w:after="80" w:before="80" w:line="300"/>
        <w:jc w:val="left"/>
      </w:pPr>
      <w:r>
        <w:rPr>
          <w:rFonts w:ascii="Calibri" w:cs="Calibri" w:eastAsia="Calibri" w:hAnsi="Calibri"/>
          <w:b w:val="false"/>
          <w:bCs w:val="false"/>
          <w:i w:val="false"/>
          <w:iCs w:val="false"/>
          <w:color w:val="2B2B2B"/>
          <w:sz w:val="22"/>
          <w:szCs w:val="22"/>
        </w:rPr>
        <w:t xml:space="preserve">Chapter 1312 is Ohio's mandatory pre-suit notice scheme for residential construction defect claims. Skipping the procedure requires dismissal of the lawsuit without prejudice.</w:t>
      </w:r>
    </w:p>
    <w:p>
      <w:pPr>
        <w:pStyle w:val="Heading2"/>
        <w:keepNext/>
        <w:spacing w:after="120" w:before="260"/>
      </w:pPr>
      <w:r>
        <w:rPr>
          <w:rFonts w:ascii="Calibri" w:cs="Calibri" w:eastAsia="Calibri" w:hAnsi="Calibri"/>
          <w:b/>
          <w:bCs/>
          <w:color w:val="2B2B2B"/>
          <w:sz w:val="28"/>
          <w:szCs w:val="28"/>
        </w:rPr>
        <w:t xml:space="preserve">Who and what is covered</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Owner </w:t>
      </w:r>
      <w:r>
        <w:rPr>
          <w:rFonts w:ascii="Calibri" w:cs="Calibri" w:eastAsia="Calibri" w:hAnsi="Calibri"/>
          <w:color w:val="2B2B2B"/>
          <w:sz w:val="22"/>
          <w:szCs w:val="22"/>
        </w:rPr>
        <w:t xml:space="preserve">and </w:t>
      </w:r>
      <w:r>
        <w:rPr>
          <w:rFonts w:ascii="Calibri" w:cs="Calibri" w:eastAsia="Calibri" w:hAnsi="Calibri"/>
          <w:b/>
          <w:bCs/>
          <w:i w:val="false"/>
          <w:iCs w:val="false"/>
          <w:color w:val="2B2B2B"/>
          <w:sz w:val="22"/>
          <w:szCs w:val="22"/>
        </w:rPr>
        <w:t xml:space="preserve">residential contractor </w:t>
      </w:r>
      <w:r>
        <w:rPr>
          <w:rFonts w:ascii="Calibri" w:cs="Calibri" w:eastAsia="Calibri" w:hAnsi="Calibri"/>
          <w:color w:val="2B2B2B"/>
          <w:sz w:val="22"/>
          <w:szCs w:val="22"/>
        </w:rPr>
        <w:t xml:space="preserve">who entered into a contract for construction or substantial rehabilitation of a residential building (R.C. § 1312.02).</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Residential building </w:t>
      </w:r>
      <w:r>
        <w:rPr>
          <w:rFonts w:ascii="Calibri" w:cs="Calibri" w:eastAsia="Calibri" w:hAnsi="Calibri"/>
          <w:color w:val="2B2B2B"/>
          <w:sz w:val="22"/>
          <w:szCs w:val="22"/>
        </w:rPr>
        <w:t xml:space="preserve">means a one-, two-, or three-family dwelling or any unit within such a dwelling, including accessory structures and model homes (R.C. § 1312.01).</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Construction defect </w:t>
      </w:r>
      <w:r>
        <w:rPr>
          <w:rFonts w:ascii="Calibri" w:cs="Calibri" w:eastAsia="Calibri" w:hAnsi="Calibri"/>
          <w:color w:val="2B2B2B"/>
          <w:sz w:val="22"/>
          <w:szCs w:val="22"/>
        </w:rPr>
        <w:t xml:space="preserve">means a deficiency arising directly or indirectly out of the construction or substantial rehabilitation of a residential building.</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Dwelling action </w:t>
      </w:r>
      <w:r>
        <w:rPr>
          <w:rFonts w:ascii="Calibri" w:cs="Calibri" w:eastAsia="Calibri" w:hAnsi="Calibri"/>
          <w:color w:val="2B2B2B"/>
          <w:sz w:val="22"/>
          <w:szCs w:val="22"/>
        </w:rPr>
        <w:t xml:space="preserve">means any civil action in contract or tort for damages or loss of use of real property caused by a construction defect.</w:t>
      </w:r>
    </w:p>
    <w:p>
      <w:pPr>
        <w:pStyle w:val="Heading2"/>
        <w:keepNext/>
        <w:spacing w:after="120" w:before="260"/>
      </w:pPr>
      <w:r>
        <w:rPr>
          <w:rFonts w:ascii="Calibri" w:cs="Calibri" w:eastAsia="Calibri" w:hAnsi="Calibri"/>
          <w:b/>
          <w:bCs/>
          <w:color w:val="2B2B2B"/>
          <w:sz w:val="28"/>
          <w:szCs w:val="28"/>
        </w:rPr>
        <w:t xml:space="preserve">The mandatory notice procedure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W w:type="dxa" w:w="3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Step</w:t>
            </w:r>
          </w:p>
        </w:tc>
        <w:tc>
          <w:tcPr>
            <w:tcW w:type="dxa" w:w="6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Detail</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Owner serves written notice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At least 60 days before filing the lawsuit or commencing arbitration, the owner must serve written notice of each alleged defect. Mail, personal delivery, fax, or email is acceptable (R.C. § 1312.04).</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Notice contents</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Reasonably detailed description of each alleged construction defect. Vague allegations risk the dismissal trap, so identify each defect by location, nature, and date noticed.</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Builder's 21-day response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Within 21 days of receiving the notice, the builder must provide a written, good-faith response: an offer to inspect, an offer to settle without inspection, or a written dispute of the claim (R.C. § 1312.05).</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Inspection / counter-offer</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the builder offers to inspect, the owner must allow reasonable access. After inspection the builder may make a written settlement or repair offer. The owner may accept, reject, or counter (R.C. §§ 1312.05–1312.06).</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When the owner may sue</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the builder fails to respond within 21 days, disputes the claim, or makes an unacceptable offer, the owner may commence the dwelling action after the 60-day notice window has elapsed (R.C. § 1312.07).</w:t>
            </w:r>
          </w:p>
        </w:tc>
      </w:tr>
      <w:tr>
        <w:tc>
          <w:tcPr>
            <w:tcW w:type="dxa" w:w="3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Consequence of skipping</w:t>
            </w:r>
          </w:p>
        </w:tc>
        <w:tc>
          <w:tcPr>
            <w:tcW w:type="dxa" w:w="6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R.C. § 1312.08 — the court must dismiss the action without prejudice. The owner may re-file after curing the notice defect, but the statute of limitations does not stop running during the original proceeding, so a homeowner who delays serving notice can lose the claim entirely.</w:t>
            </w:r>
          </w:p>
        </w:tc>
      </w:tr>
    </w:tbl>
    <w:p>
      <w:pPr>
        <w:pStyle w:val="Heading2"/>
        <w:keepNext/>
        <w:spacing w:after="120" w:before="260"/>
      </w:pPr>
      <w:r>
        <w:rPr>
          <w:rFonts w:ascii="Calibri" w:cs="Calibri" w:eastAsia="Calibri" w:hAnsi="Calibri"/>
          <w:b/>
          <w:bCs/>
          <w:color w:val="2B2B2B"/>
          <w:sz w:val="28"/>
          <w:szCs w:val="28"/>
        </w:rPr>
        <w:t xml:space="preserve">Builder's disclosure obligation</w:t>
      </w:r>
    </w:p>
    <w:p>
      <w:pPr>
        <w:spacing w:after="80" w:before="80" w:line="300"/>
        <w:jc w:val="left"/>
      </w:pPr>
      <w:r>
        <w:rPr>
          <w:rFonts w:ascii="Calibri" w:cs="Calibri" w:eastAsia="Calibri" w:hAnsi="Calibri"/>
          <w:b w:val="false"/>
          <w:bCs w:val="false"/>
          <w:i w:val="false"/>
          <w:iCs w:val="false"/>
          <w:color w:val="2B2B2B"/>
          <w:sz w:val="22"/>
          <w:szCs w:val="22"/>
        </w:rPr>
        <w:t xml:space="preserve">Under R.C. § 1312.03, the contractor must give the owner written notice of the chapter's right-to-cure procedure, typically in the construction contract itself. Failure of that disclosure does not relieve the owner from giving the 60-day notice, but it is useful evidence in any later dispute about good faith.</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4. Home Construction Service Suppliers Act — Chapter 4722</w:t>
      </w:r>
    </w:p>
    <w:p>
      <w:pPr>
        <w:spacing w:after="80" w:before="80" w:line="300"/>
        <w:jc w:val="left"/>
      </w:pPr>
      <w:r>
        <w:rPr>
          <w:rFonts w:ascii="Calibri" w:cs="Calibri" w:eastAsia="Calibri" w:hAnsi="Calibri"/>
          <w:b w:val="false"/>
          <w:bCs w:val="false"/>
          <w:i w:val="false"/>
          <w:iCs w:val="false"/>
          <w:color w:val="2B2B2B"/>
          <w:sz w:val="22"/>
          <w:szCs w:val="22"/>
        </w:rPr>
        <w:t xml:space="preserve">Effective July 3, 2012 and substantially amended by House Bill 50 effective September 20, 2024. The 2024 amendments sweep remodeling and renovation projects above $25,000 into the regime; previously, only new-home construction service contracts were squarely within scope.</w:t>
      </w:r>
    </w:p>
    <w:p>
      <w:pPr>
        <w:pStyle w:val="Heading2"/>
        <w:keepNext/>
        <w:spacing w:after="120" w:before="260"/>
      </w:pPr>
      <w:r>
        <w:rPr>
          <w:rFonts w:ascii="Calibri" w:cs="Calibri" w:eastAsia="Calibri" w:hAnsi="Calibri"/>
          <w:b/>
          <w:bCs/>
          <w:color w:val="2B2B2B"/>
          <w:sz w:val="28"/>
          <w:szCs w:val="28"/>
        </w:rPr>
        <w:t xml:space="preserve">When HCSSA applies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Home construction service </w:t>
      </w:r>
      <w:r>
        <w:rPr>
          <w:rFonts w:ascii="Calibri" w:cs="Calibri" w:eastAsia="Calibri" w:hAnsi="Calibri"/>
          <w:color w:val="2B2B2B"/>
          <w:sz w:val="22"/>
          <w:szCs w:val="22"/>
        </w:rPr>
        <w:t xml:space="preserve">now includes the construction of a residential building, including the creation of a new structure and the repair, improvement, remodel, or renovation of an existing structure (R.C. § 4722.01, as amended by HB 50).</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Threshold: $25,000. </w:t>
      </w:r>
      <w:r>
        <w:rPr>
          <w:rFonts w:ascii="Calibri" w:cs="Calibri" w:eastAsia="Calibri" w:hAnsi="Calibri"/>
          <w:color w:val="2B2B2B"/>
          <w:sz w:val="22"/>
          <w:szCs w:val="22"/>
        </w:rPr>
        <w:t xml:space="preserve">A written contract is required where the cost of the home construction service equals or exceeds $25,000.</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Insurance threshold: $250,000. </w:t>
      </w:r>
      <w:r>
        <w:rPr>
          <w:rFonts w:ascii="Calibri" w:cs="Calibri" w:eastAsia="Calibri" w:hAnsi="Calibri"/>
          <w:color w:val="2B2B2B"/>
          <w:sz w:val="22"/>
          <w:szCs w:val="22"/>
        </w:rPr>
        <w:t xml:space="preserve">The supplier must carry general-liability coverage of at least $250,000. If the contractor is uninsured or under-insured below that figure, HCSSA does not apply and the transaction drops back into the Consumer Sales Practices Act with its treble-damages remedy.</w:t>
      </w:r>
    </w:p>
    <w:p>
      <w:pPr>
        <w:pStyle w:val="Heading2"/>
        <w:keepNext/>
        <w:spacing w:after="120" w:before="260"/>
      </w:pPr>
      <w:r>
        <w:rPr>
          <w:rFonts w:ascii="Calibri" w:cs="Calibri" w:eastAsia="Calibri" w:hAnsi="Calibri"/>
          <w:b/>
          <w:bCs/>
          <w:color w:val="2B2B2B"/>
          <w:sz w:val="28"/>
          <w:szCs w:val="28"/>
        </w:rPr>
        <w:t xml:space="preserve">Mandatory contract contents</w:t>
      </w:r>
    </w:p>
    <w:p>
      <w:pPr>
        <w:pStyle w:val="ListParagraph"/>
        <w:numPr>
          <w:ilvl w:val="0"/>
          <w:numId w:val="2"/>
        </w:numPr>
        <w:spacing w:after="40" w:before="40" w:line="280"/>
      </w:pPr>
      <w:r>
        <w:rPr>
          <w:rFonts w:ascii="Calibri" w:cs="Calibri" w:eastAsia="Calibri" w:hAnsi="Calibri"/>
          <w:color w:val="2B2B2B"/>
          <w:sz w:val="22"/>
          <w:szCs w:val="22"/>
        </w:rPr>
        <w:t xml:space="preserve">Supplier name, address, phone, and taxpayer identification number.</w:t>
      </w:r>
    </w:p>
    <w:p>
      <w:pPr>
        <w:pStyle w:val="ListParagraph"/>
        <w:numPr>
          <w:ilvl w:val="0"/>
          <w:numId w:val="2"/>
        </w:numPr>
        <w:spacing w:after="40" w:before="40" w:line="280"/>
      </w:pPr>
      <w:r>
        <w:rPr>
          <w:rFonts w:ascii="Calibri" w:cs="Calibri" w:eastAsia="Calibri" w:hAnsi="Calibri"/>
          <w:color w:val="2B2B2B"/>
          <w:sz w:val="22"/>
          <w:szCs w:val="22"/>
        </w:rPr>
        <w:t xml:space="preserve">Owner name and contact information.</w:t>
      </w:r>
    </w:p>
    <w:p>
      <w:pPr>
        <w:pStyle w:val="ListParagraph"/>
        <w:numPr>
          <w:ilvl w:val="0"/>
          <w:numId w:val="2"/>
        </w:numPr>
        <w:spacing w:after="40" w:before="40" w:line="280"/>
      </w:pPr>
      <w:r>
        <w:rPr>
          <w:rFonts w:ascii="Calibri" w:cs="Calibri" w:eastAsia="Calibri" w:hAnsi="Calibri"/>
          <w:color w:val="2B2B2B"/>
          <w:sz w:val="22"/>
          <w:szCs w:val="22"/>
        </w:rPr>
        <w:t xml:space="preserve">Property location.</w:t>
      </w:r>
    </w:p>
    <w:p>
      <w:pPr>
        <w:pStyle w:val="ListParagraph"/>
        <w:numPr>
          <w:ilvl w:val="0"/>
          <w:numId w:val="2"/>
        </w:numPr>
        <w:spacing w:after="40" w:before="40" w:line="280"/>
      </w:pPr>
      <w:r>
        <w:rPr>
          <w:rFonts w:ascii="Calibri" w:cs="Calibri" w:eastAsia="Calibri" w:hAnsi="Calibri"/>
          <w:color w:val="2B2B2B"/>
          <w:sz w:val="22"/>
          <w:szCs w:val="22"/>
        </w:rPr>
        <w:t xml:space="preserve">Reasonably detailed description of the home construction service.</w:t>
      </w:r>
    </w:p>
    <w:p>
      <w:pPr>
        <w:pStyle w:val="ListParagraph"/>
        <w:numPr>
          <w:ilvl w:val="0"/>
          <w:numId w:val="2"/>
        </w:numPr>
        <w:spacing w:after="40" w:before="40" w:line="280"/>
      </w:pPr>
      <w:r>
        <w:rPr>
          <w:rFonts w:ascii="Calibri" w:cs="Calibri" w:eastAsia="Calibri" w:hAnsi="Calibri"/>
          <w:color w:val="2B2B2B"/>
          <w:sz w:val="22"/>
          <w:szCs w:val="22"/>
        </w:rPr>
        <w:t xml:space="preserve">Start and completion dates.</w:t>
      </w:r>
    </w:p>
    <w:p>
      <w:pPr>
        <w:pStyle w:val="ListParagraph"/>
        <w:numPr>
          <w:ilvl w:val="0"/>
          <w:numId w:val="2"/>
        </w:numPr>
        <w:spacing w:after="40" w:before="40" w:line="280"/>
      </w:pPr>
      <w:r>
        <w:rPr>
          <w:rFonts w:ascii="Calibri" w:cs="Calibri" w:eastAsia="Calibri" w:hAnsi="Calibri"/>
          <w:color w:val="2B2B2B"/>
          <w:sz w:val="22"/>
          <w:szCs w:val="22"/>
        </w:rPr>
        <w:t xml:space="preserve">Total estimated cost.</w:t>
      </w:r>
    </w:p>
    <w:p>
      <w:pPr>
        <w:pStyle w:val="ListParagraph"/>
        <w:numPr>
          <w:ilvl w:val="0"/>
          <w:numId w:val="2"/>
        </w:numPr>
        <w:spacing w:after="40" w:before="40" w:line="280"/>
      </w:pPr>
      <w:r>
        <w:rPr>
          <w:rFonts w:ascii="Calibri" w:cs="Calibri" w:eastAsia="Calibri" w:hAnsi="Calibri"/>
          <w:color w:val="2B2B2B"/>
          <w:sz w:val="22"/>
          <w:szCs w:val="22"/>
        </w:rPr>
        <w:t xml:space="preserve">Ancillary cost notes.</w:t>
      </w:r>
    </w:p>
    <w:p>
      <w:pPr>
        <w:pStyle w:val="ListParagraph"/>
        <w:numPr>
          <w:ilvl w:val="0"/>
          <w:numId w:val="2"/>
        </w:numPr>
        <w:spacing w:after="40" w:before="40" w:line="280"/>
      </w:pPr>
      <w:r>
        <w:rPr>
          <w:rFonts w:ascii="Calibri" w:cs="Calibri" w:eastAsia="Calibri" w:hAnsi="Calibri"/>
          <w:color w:val="2B2B2B"/>
          <w:sz w:val="22"/>
          <w:szCs w:val="22"/>
        </w:rPr>
        <w:t xml:space="preserve">Certificate of insurance.</w:t>
      </w:r>
    </w:p>
    <w:p>
      <w:pPr>
        <w:spacing w:after="80" w:before="80" w:line="300"/>
        <w:jc w:val="left"/>
      </w:pPr>
      <w:r>
        <w:rPr>
          <w:rFonts w:ascii="Calibri" w:cs="Calibri" w:eastAsia="Calibri" w:hAnsi="Calibri"/>
          <w:b w:val="false"/>
          <w:bCs w:val="false"/>
          <w:i w:val="false"/>
          <w:iCs w:val="false"/>
          <w:color w:val="2B2B2B"/>
          <w:sz w:val="22"/>
          <w:szCs w:val="22"/>
        </w:rPr>
        <w:t xml:space="preserve">Cost-plus contracts are excused from the written-cost and completion-date requirements under R.C. § 4722.02.</w:t>
      </w:r>
    </w:p>
    <w:p>
      <w:pPr>
        <w:pStyle w:val="Heading2"/>
        <w:keepNext/>
        <w:spacing w:after="120" w:before="260"/>
      </w:pPr>
      <w:r>
        <w:rPr>
          <w:rFonts w:ascii="Calibri" w:cs="Calibri" w:eastAsia="Calibri" w:hAnsi="Calibri"/>
          <w:b/>
          <w:bCs/>
          <w:color w:val="2B2B2B"/>
          <w:sz w:val="28"/>
          <w:szCs w:val="28"/>
        </w:rPr>
        <w:t xml:space="preserve">Change orders</w:t>
      </w:r>
    </w:p>
    <w:p>
      <w:pPr>
        <w:spacing w:after="80" w:before="80" w:line="300"/>
        <w:jc w:val="left"/>
      </w:pPr>
      <w:r>
        <w:rPr>
          <w:rFonts w:ascii="Calibri" w:cs="Calibri" w:eastAsia="Calibri" w:hAnsi="Calibri"/>
          <w:b w:val="false"/>
          <w:bCs w:val="false"/>
          <w:i w:val="false"/>
          <w:iCs w:val="false"/>
          <w:color w:val="2B2B2B"/>
          <w:sz w:val="22"/>
          <w:szCs w:val="22"/>
        </w:rPr>
        <w:t xml:space="preserve">Under R.C. § 4722.03, if reasonably unforeseen but necessary excess costs exceed $5,000 over the life of the contract, the supplier must provide the owner with a written or oral estimate (as the parties elected in the original contract) before performing the excess work.</w:t>
      </w:r>
    </w:p>
    <w:p>
      <w:pPr>
        <w:pStyle w:val="Heading2"/>
        <w:keepNext/>
        <w:spacing w:after="120" w:before="260"/>
      </w:pPr>
      <w:r>
        <w:rPr>
          <w:rFonts w:ascii="Calibri" w:cs="Calibri" w:eastAsia="Calibri" w:hAnsi="Calibri"/>
          <w:b/>
          <w:bCs/>
          <w:color w:val="2B2B2B"/>
          <w:sz w:val="28"/>
          <w:szCs w:val="28"/>
        </w:rPr>
        <w:t xml:space="preserve">Remedies</w:t>
      </w:r>
    </w:p>
    <w:p>
      <w:pPr>
        <w:spacing w:after="80" w:before="80" w:line="300"/>
        <w:jc w:val="left"/>
      </w:pPr>
      <w:r>
        <w:rPr>
          <w:rFonts w:ascii="Calibri" w:cs="Calibri" w:eastAsia="Calibri" w:hAnsi="Calibri"/>
          <w:b w:val="false"/>
          <w:bCs w:val="false"/>
          <w:i w:val="false"/>
          <w:iCs w:val="false"/>
          <w:color w:val="2B2B2B"/>
          <w:sz w:val="22"/>
          <w:szCs w:val="22"/>
        </w:rPr>
        <w:t xml:space="preserve">R.C. § 4722.08 declares a violation of Chapter 4722 to be an unfair or deceptive act or practice in connection with a consumer transaction in violation of R.C. § 1345.02. Critically, the damages and remedies available are limited to those provided in Chapter 4722 itself; the Consumer Sales Practices Act's treble-damages and attorney's fees provisions do not apply to HCSSA-covered contracts. Non-economic damages are capped at $5,000.</w:t>
      </w:r>
    </w:p>
    <w:p>
      <w:pPr>
        <w:pStyle w:val="Heading2"/>
        <w:keepNext/>
        <w:spacing w:after="120" w:before="260"/>
      </w:pPr>
      <w:r>
        <w:rPr>
          <w:rFonts w:ascii="Calibri" w:cs="Calibri" w:eastAsia="Calibri" w:hAnsi="Calibri"/>
          <w:b/>
          <w:bCs/>
          <w:color w:val="2B2B2B"/>
          <w:sz w:val="28"/>
          <w:szCs w:val="28"/>
        </w:rPr>
        <w:t xml:space="preserve">Practical effect of HB 50</w:t>
      </w:r>
    </w:p>
    <w:p>
      <w:pPr>
        <w:spacing w:after="80" w:before="80" w:line="300"/>
        <w:jc w:val="left"/>
      </w:pPr>
      <w:r>
        <w:rPr>
          <w:rFonts w:ascii="Calibri" w:cs="Calibri" w:eastAsia="Calibri" w:hAnsi="Calibri"/>
          <w:b w:val="false"/>
          <w:bCs w:val="false"/>
          <w:i w:val="false"/>
          <w:iCs w:val="false"/>
          <w:color w:val="2B2B2B"/>
          <w:sz w:val="22"/>
          <w:szCs w:val="22"/>
        </w:rPr>
        <w:t xml:space="preserve">Before September 20, 2024, repair and remodeling contracts were Consumer Sales Practices Act territory, with treble damages and full attorney's fees available for knowing violations. After September 20, 2024, contracts above $25,000 are routed to HCSSA with its more modest remedies. Contracts signed before that date are governed by the prior law. Counsel evaluating a remodeling defect case should always check the date of contract signature against the HB 50 effective date.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5. Consumer Sales Practices Act — Chapter 1345</w:t>
      </w:r>
    </w:p>
    <w:p>
      <w:pPr>
        <w:spacing w:after="80" w:before="80" w:line="300"/>
        <w:jc w:val="left"/>
      </w:pPr>
      <w:r>
        <w:rPr>
          <w:rFonts w:ascii="Calibri" w:cs="Calibri" w:eastAsia="Calibri" w:hAnsi="Calibri"/>
          <w:b/>
          <w:bCs/>
          <w:i w:val="false"/>
          <w:iCs w:val="false"/>
          <w:color w:val="2B2B2B"/>
          <w:sz w:val="22"/>
          <w:szCs w:val="22"/>
        </w:rPr>
        <w:t xml:space="preserve">Does the CSPA apply to the sale of a new home? Generally no. </w:t>
      </w:r>
      <w:r>
        <w:rPr>
          <w:rFonts w:ascii="Calibri" w:cs="Calibri" w:eastAsia="Calibri" w:hAnsi="Calibri"/>
          <w:color w:val="2B2B2B"/>
          <w:sz w:val="22"/>
          <w:szCs w:val="22"/>
        </w:rPr>
        <w:t xml:space="preserve">Under </w:t>
      </w:r>
      <w:r>
        <w:rPr>
          <w:rFonts w:ascii="Calibri" w:cs="Calibri" w:eastAsia="Calibri" w:hAnsi="Calibri"/>
          <w:b w:val="false"/>
          <w:bCs w:val="false"/>
          <w:i/>
          <w:iCs/>
          <w:color w:val="2B2B2B"/>
          <w:sz w:val="22"/>
          <w:szCs w:val="22"/>
        </w:rPr>
        <w:t xml:space="preserve">Brown v. Liberty Clubs, Inc.</w:t>
      </w:r>
      <w:r>
        <w:rPr>
          <w:rFonts w:ascii="Calibri" w:cs="Calibri" w:eastAsia="Calibri" w:hAnsi="Calibri"/>
          <w:color w:val="2B2B2B"/>
          <w:sz w:val="22"/>
          <w:szCs w:val="22"/>
        </w:rPr>
        <w:t xml:space="preserve">, 45 Ohio St. 3d 191, 543 N.E.2d 783 (1989), the Ohio Supreme Court held that a pure real-estate transaction is not a consumer transaction within the meaning of the CSPA. A new home is real property; the sale of the home itself does not trigger the Act.</w:t>
      </w:r>
    </w:p>
    <w:p>
      <w:pPr>
        <w:pStyle w:val="Heading2"/>
        <w:keepNext/>
        <w:spacing w:after="120" w:before="260"/>
      </w:pPr>
      <w:r>
        <w:rPr>
          <w:rFonts w:ascii="Calibri" w:cs="Calibri" w:eastAsia="Calibri" w:hAnsi="Calibri"/>
          <w:b/>
          <w:bCs/>
          <w:color w:val="2B2B2B"/>
          <w:sz w:val="28"/>
          <w:szCs w:val="28"/>
        </w:rPr>
        <w:t xml:space="preserve">What does fall under CSPA</w:t>
      </w:r>
    </w:p>
    <w:p>
      <w:pPr>
        <w:pStyle w:val="ListParagraph"/>
        <w:numPr>
          <w:ilvl w:val="0"/>
          <w:numId w:val="2"/>
        </w:numPr>
        <w:spacing w:after="40" w:before="40" w:line="280"/>
      </w:pPr>
      <w:r>
        <w:rPr>
          <w:rFonts w:ascii="Calibri" w:cs="Calibri" w:eastAsia="Calibri" w:hAnsi="Calibri"/>
          <w:color w:val="2B2B2B"/>
          <w:sz w:val="22"/>
          <w:szCs w:val="22"/>
        </w:rPr>
        <w:t xml:space="preserve">Services severable from the real-estate sale (repair work, warranty service contracts, post-closing remediation).</w:t>
      </w:r>
    </w:p>
    <w:p>
      <w:pPr>
        <w:pStyle w:val="ListParagraph"/>
        <w:numPr>
          <w:ilvl w:val="0"/>
          <w:numId w:val="2"/>
        </w:numPr>
        <w:spacing w:after="40" w:before="40" w:line="280"/>
      </w:pPr>
      <w:r>
        <w:rPr>
          <w:rFonts w:ascii="Calibri" w:cs="Calibri" w:eastAsia="Calibri" w:hAnsi="Calibri"/>
          <w:color w:val="2B2B2B"/>
          <w:sz w:val="22"/>
          <w:szCs w:val="22"/>
        </w:rPr>
        <w:t xml:space="preserve">Home-improvement and contractor services on existing homes that fall below the $25,000 HCSSA threshold or that involve an uninsured / under-insured supplier.</w:t>
      </w:r>
    </w:p>
    <w:p>
      <w:pPr>
        <w:pStyle w:val="ListParagraph"/>
        <w:numPr>
          <w:ilvl w:val="0"/>
          <w:numId w:val="2"/>
        </w:numPr>
        <w:spacing w:after="40" w:before="40" w:line="280"/>
      </w:pPr>
      <w:r>
        <w:rPr>
          <w:rFonts w:ascii="Calibri" w:cs="Calibri" w:eastAsia="Calibri" w:hAnsi="Calibri"/>
          <w:color w:val="2B2B2B"/>
          <w:sz w:val="22"/>
          <w:szCs w:val="22"/>
        </w:rPr>
        <w:t xml:space="preserve">Deceptive marketing and misrepresentations made in connection with the sale, where the deception is severable from the conveyance itself.</w:t>
      </w:r>
    </w:p>
    <w:p>
      <w:pPr>
        <w:pStyle w:val="Heading2"/>
        <w:keepNext/>
        <w:spacing w:after="120" w:before="260"/>
      </w:pPr>
      <w:r>
        <w:rPr>
          <w:rFonts w:ascii="Calibri" w:cs="Calibri" w:eastAsia="Calibri" w:hAnsi="Calibri"/>
          <w:b/>
          <w:bCs/>
          <w:color w:val="2B2B2B"/>
          <w:sz w:val="28"/>
          <w:szCs w:val="28"/>
        </w:rPr>
        <w:t xml:space="preserve">Remedies</w:t>
      </w:r>
    </w:p>
    <w:p>
      <w:pPr>
        <w:spacing w:after="80" w:before="80" w:line="300"/>
        <w:jc w:val="left"/>
      </w:pPr>
      <w:r>
        <w:rPr>
          <w:rFonts w:ascii="Calibri" w:cs="Calibri" w:eastAsia="Calibri" w:hAnsi="Calibri"/>
          <w:b w:val="false"/>
          <w:bCs w:val="false"/>
          <w:i w:val="false"/>
          <w:iCs w:val="false"/>
          <w:color w:val="2B2B2B"/>
          <w:sz w:val="22"/>
          <w:szCs w:val="22"/>
        </w:rPr>
        <w:t xml:space="preserve">Under R.C. § 1345.09, a consumer may rescind the transaction or recover actual damages. For knowing violations, the consumer may recover treble damages (with a $5,000 cap on the actual damages portion before trebling in certain contexts) and reasonable attorney's fees. The CSPA also permits class actions for declared deceptive practices.</w:t>
      </w:r>
    </w:p>
    <w:p>
      <w:pPr>
        <w:pStyle w:val="Heading2"/>
        <w:keepNext/>
        <w:spacing w:after="120" w:before="260"/>
      </w:pPr>
      <w:r>
        <w:rPr>
          <w:rFonts w:ascii="Calibri" w:cs="Calibri" w:eastAsia="Calibri" w:hAnsi="Calibri"/>
          <w:b/>
          <w:bCs/>
          <w:color w:val="2B2B2B"/>
          <w:sz w:val="28"/>
          <w:szCs w:val="28"/>
        </w:rPr>
        <w:t xml:space="preserve">Limitations</w:t>
      </w:r>
    </w:p>
    <w:p>
      <w:pPr>
        <w:spacing w:after="80" w:before="80" w:line="300"/>
        <w:jc w:val="left"/>
      </w:pPr>
      <w:r>
        <w:rPr>
          <w:rFonts w:ascii="Calibri" w:cs="Calibri" w:eastAsia="Calibri" w:hAnsi="Calibri"/>
          <w:b w:val="false"/>
          <w:bCs w:val="false"/>
          <w:i w:val="false"/>
          <w:iCs w:val="false"/>
          <w:color w:val="2B2B2B"/>
          <w:sz w:val="22"/>
          <w:szCs w:val="22"/>
        </w:rPr>
        <w:t xml:space="preserve">R.C. § 1345.10(C) provides a two-year limitations period from the date of the violation, or one year after a related enforcement action by the Attorney General concludes, whichever is later.</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6. Statutes of Limitations and Repose</w:t>
      </w:r>
    </w:p>
    <w:p>
      <w:pPr>
        <w:spacing w:after="80" w:before="80" w:line="300"/>
        <w:jc w:val="left"/>
      </w:pPr>
      <w:r>
        <w:rPr>
          <w:rFonts w:ascii="Calibri" w:cs="Calibri" w:eastAsia="Calibri" w:hAnsi="Calibri"/>
          <w:b w:val="false"/>
          <w:bCs w:val="false"/>
          <w:i w:val="false"/>
          <w:iCs w:val="false"/>
          <w:color w:val="2B2B2B"/>
          <w:sz w:val="22"/>
          <w:szCs w:val="22"/>
        </w:rPr>
        <w:t xml:space="preserve">Multiple clocks run in parallel. Whichever expires first controls.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360"/>
        <w:gridCol w:w="2000"/>
        <w:gridCol w:w="4000"/>
      </w:tblGrid>
      <w:tr>
        <w:trPr>
          <w:tblHeader/>
        </w:trPr>
        <w:tc>
          <w:tcPr>
            <w:tcW w:type="dxa" w:w="33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Theory of liability</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Period</w:t>
            </w:r>
          </w:p>
        </w:tc>
        <w:tc>
          <w:tcPr>
            <w:tcW w:type="dxa" w:w="4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Trigger / accrual</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Breach of written contract / express written warranty (incl. Kishmarton build-to-suit)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6 years (§ 2305.06)</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breach. Reduced from 8 years effective June 16, 2021 (Senate Bill 13); was 15 years before 2012.</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Oral contract; implied contract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4 years (§ 2305.07)</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breach. Reduced from 6 years effective June 16, 2021 (Senate Bill 13).</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Velotta tort claim for unworkmanlike construction by a builder-vendor of a completed home; injury to real property</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4 years (§ 2305.09)</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accrual. Latent-defect discovery rule applies.</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Bodily injury / injury to personal property; product liability</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 2305.10)</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accrual.</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Consumer Sales Practices Act</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2 years (§ 1345.10)</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violation, or 1 year after related AG action concludes, whichever is later.</w:t>
            </w:r>
          </w:p>
        </w:tc>
      </w:tr>
      <w:tr>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Statute of repose — improvements to real property</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10 years (§ 2305.131)</w:t>
            </w:r>
          </w:p>
        </w:tc>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Date of substantial completion of the improvement. Absolute outer cap; applies to both tort and contract claims.</w:t>
            </w:r>
          </w:p>
        </w:tc>
      </w:tr>
    </w:tbl>
    <w:p>
      <w:pPr>
        <w:pStyle w:val="Heading2"/>
        <w:keepNext/>
        <w:spacing w:after="120" w:before="260"/>
      </w:pPr>
      <w:r>
        <w:rPr>
          <w:rFonts w:ascii="Calibri" w:cs="Calibri" w:eastAsia="Calibri" w:hAnsi="Calibri"/>
          <w:b/>
          <w:bCs/>
          <w:color w:val="2B2B2B"/>
          <w:sz w:val="28"/>
          <w:szCs w:val="28"/>
        </w:rPr>
        <w:t xml:space="preserve">Statute of repose — narrow exceptions</w:t>
      </w:r>
    </w:p>
    <w:p>
      <w:pPr>
        <w:pStyle w:val="ListParagraph"/>
        <w:numPr>
          <w:ilvl w:val="0"/>
          <w:numId w:val="2"/>
        </w:numPr>
        <w:spacing w:after="40" w:before="40" w:line="280"/>
      </w:pPr>
      <w:r>
        <w:rPr>
          <w:rFonts w:ascii="Calibri" w:cs="Calibri" w:eastAsia="Calibri" w:hAnsi="Calibri"/>
          <w:color w:val="2B2B2B"/>
          <w:sz w:val="22"/>
          <w:szCs w:val="22"/>
        </w:rPr>
        <w:t xml:space="preserve">Discovery in years 9 or 10. If the defect is discovered less than two years before the ten-year repose period expires, the claimant has two years from the date of discovery to file.</w:t>
      </w:r>
    </w:p>
    <w:p>
      <w:pPr>
        <w:pStyle w:val="ListParagraph"/>
        <w:numPr>
          <w:ilvl w:val="0"/>
          <w:numId w:val="2"/>
        </w:numPr>
        <w:spacing w:after="40" w:before="40" w:line="280"/>
      </w:pPr>
      <w:r>
        <w:rPr>
          <w:rFonts w:ascii="Calibri" w:cs="Calibri" w:eastAsia="Calibri" w:hAnsi="Calibri"/>
          <w:color w:val="2B2B2B"/>
          <w:sz w:val="22"/>
          <w:szCs w:val="22"/>
        </w:rPr>
        <w:t xml:space="preserve">Fraud. The repose is not available as a defense where the defendant engaged in fraud.</w:t>
      </w:r>
    </w:p>
    <w:p>
      <w:pPr>
        <w:pStyle w:val="ListParagraph"/>
        <w:numPr>
          <w:ilvl w:val="0"/>
          <w:numId w:val="2"/>
        </w:numPr>
        <w:spacing w:after="40" w:before="40" w:line="280"/>
      </w:pPr>
      <w:r>
        <w:rPr>
          <w:rFonts w:ascii="Calibri" w:cs="Calibri" w:eastAsia="Calibri" w:hAnsi="Calibri"/>
          <w:color w:val="2B2B2B"/>
          <w:sz w:val="22"/>
          <w:szCs w:val="22"/>
        </w:rPr>
        <w:t xml:space="preserve">Express warranty. The repose does not bar suit where the defendant expressly warranted the improvement for more than ten years.</w:t>
      </w:r>
    </w:p>
    <w:p>
      <w:pPr>
        <w:pStyle w:val="Heading2"/>
        <w:keepNext/>
        <w:spacing w:after="120" w:before="260"/>
      </w:pPr>
      <w:r>
        <w:rPr>
          <w:rFonts w:ascii="Calibri" w:cs="Calibri" w:eastAsia="Calibri" w:hAnsi="Calibri"/>
          <w:b/>
          <w:bCs/>
          <w:color w:val="2B2B2B"/>
          <w:sz w:val="28"/>
          <w:szCs w:val="28"/>
        </w:rPr>
        <w:t xml:space="preserve">New Riegel — repose applies to contract claims too</w:t>
      </w:r>
    </w:p>
    <w:p>
      <w:pPr>
        <w:spacing w:after="80" w:before="80" w:line="300"/>
        <w:jc w:val="left"/>
      </w:pPr>
      <w:r>
        <w:rPr>
          <w:rFonts w:ascii="Calibri" w:cs="Calibri" w:eastAsia="Calibri" w:hAnsi="Calibri"/>
          <w:b w:val="false"/>
          <w:bCs w:val="false"/>
          <w:i/>
          <w:iCs/>
          <w:color w:val="2B2B2B"/>
          <w:sz w:val="22"/>
          <w:szCs w:val="22"/>
        </w:rPr>
        <w:t xml:space="preserve">New Riegel Local School District v. Buehrer Group Architecture &amp; Engineering, Inc.</w:t>
      </w:r>
      <w:r>
        <w:rPr>
          <w:rFonts w:ascii="Calibri" w:cs="Calibri" w:eastAsia="Calibri" w:hAnsi="Calibri"/>
          <w:color w:val="2B2B2B"/>
          <w:sz w:val="22"/>
          <w:szCs w:val="22"/>
        </w:rPr>
        <w:t xml:space="preserve">, 157 Ohio St. 3d 164, 2019-Ohio-2851, held that R.C. § 2305.131 applies to breach-of-contract claims as well as tort claims. Counsel should not assume contract framing escapes the ten-year ceiling.</w:t>
      </w:r>
    </w:p>
    <w:p>
      <w:pPr>
        <w:pStyle w:val="Heading2"/>
        <w:keepNext/>
        <w:spacing w:after="120" w:before="260"/>
      </w:pPr>
      <w:r>
        <w:rPr>
          <w:rFonts w:ascii="Calibri" w:cs="Calibri" w:eastAsia="Calibri" w:hAnsi="Calibri"/>
          <w:b/>
          <w:bCs/>
          <w:color w:val="2B2B2B"/>
          <w:sz w:val="28"/>
          <w:szCs w:val="28"/>
        </w:rPr>
        <w:t xml:space="preserve">Discovery rule for latent defects</w:t>
      </w:r>
    </w:p>
    <w:p>
      <w:pPr>
        <w:spacing w:after="80" w:before="80" w:line="300"/>
        <w:jc w:val="left"/>
      </w:pPr>
      <w:r>
        <w:rPr>
          <w:rFonts w:ascii="Calibri" w:cs="Calibri" w:eastAsia="Calibri" w:hAnsi="Calibri"/>
          <w:b w:val="false"/>
          <w:bCs w:val="false"/>
          <w:i w:val="false"/>
          <w:iCs w:val="false"/>
          <w:color w:val="2B2B2B"/>
          <w:sz w:val="22"/>
          <w:szCs w:val="22"/>
        </w:rPr>
        <w:t xml:space="preserve">Ohio recognizes a discovery rule for latent construction defects in negligence claims under R.C. § 2305.09. For contract claims, the cause of action generally accrues at breach rather than discovery, though the Kishmarton implied-workmanlike-manner claim has a more buyer-friendly accrual where the defect was concealed. Document the date of first symptom carefully — that date often controls the entire case.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7. Pre-Suit Procedure and Demand Letter</w:t>
      </w:r>
    </w:p>
    <w:p>
      <w:pPr>
        <w:pStyle w:val="Heading2"/>
        <w:keepNext/>
        <w:spacing w:after="120" w:before="260"/>
      </w:pPr>
      <w:r>
        <w:rPr>
          <w:rFonts w:ascii="Calibri" w:cs="Calibri" w:eastAsia="Calibri" w:hAnsi="Calibri"/>
          <w:b/>
          <w:bCs/>
          <w:color w:val="2B2B2B"/>
          <w:sz w:val="28"/>
          <w:szCs w:val="28"/>
        </w:rPr>
        <w:t xml:space="preserve">The Chapter 1312 notice is mandatory</w:t>
      </w:r>
    </w:p>
    <w:p>
      <w:pPr>
        <w:spacing w:after="80" w:before="80" w:line="300"/>
        <w:jc w:val="left"/>
      </w:pPr>
      <w:r>
        <w:rPr>
          <w:rFonts w:ascii="Calibri" w:cs="Calibri" w:eastAsia="Calibri" w:hAnsi="Calibri"/>
          <w:b w:val="false"/>
          <w:bCs w:val="false"/>
          <w:i w:val="false"/>
          <w:iCs w:val="false"/>
          <w:color w:val="2B2B2B"/>
          <w:sz w:val="22"/>
          <w:szCs w:val="22"/>
        </w:rPr>
        <w:t xml:space="preserve">The single biggest practitioner trap in Ohio new-home defect work is failing to serve the 60-day notice under R.C. § 1312.04 before filing suit. Failure to give the notice requires dismissal without prejudice, and the limitations clock does not stop running during the original action — so a homeowner who delays can lose the claim entirely.</w:t>
      </w:r>
    </w:p>
    <w:p>
      <w:pPr>
        <w:pStyle w:val="Heading2"/>
        <w:keepNext/>
        <w:spacing w:after="120" w:before="260"/>
      </w:pPr>
      <w:r>
        <w:rPr>
          <w:rFonts w:ascii="Calibri" w:cs="Calibri" w:eastAsia="Calibri" w:hAnsi="Calibri"/>
          <w:b/>
          <w:bCs/>
          <w:color w:val="2B2B2B"/>
          <w:sz w:val="28"/>
          <w:szCs w:val="28"/>
        </w:rPr>
        <w:t xml:space="preserve">Recommended demand letter contents</w:t>
      </w:r>
    </w:p>
    <w:p>
      <w:pPr>
        <w:pStyle w:val="ListParagraph"/>
        <w:numPr>
          <w:ilvl w:val="0"/>
          <w:numId w:val="2"/>
        </w:numPr>
        <w:spacing w:after="40" w:before="40" w:line="280"/>
      </w:pPr>
      <w:r>
        <w:rPr>
          <w:rFonts w:ascii="Calibri" w:cs="Calibri" w:eastAsia="Calibri" w:hAnsi="Calibri"/>
          <w:color w:val="2B2B2B"/>
          <w:sz w:val="22"/>
          <w:szCs w:val="22"/>
        </w:rPr>
        <w:t xml:space="preserve">Identification of the homeowner and the property.</w:t>
      </w:r>
    </w:p>
    <w:p>
      <w:pPr>
        <w:pStyle w:val="ListParagraph"/>
        <w:numPr>
          <w:ilvl w:val="0"/>
          <w:numId w:val="2"/>
        </w:numPr>
        <w:spacing w:after="40" w:before="40" w:line="280"/>
      </w:pPr>
      <w:r>
        <w:rPr>
          <w:rFonts w:ascii="Calibri" w:cs="Calibri" w:eastAsia="Calibri" w:hAnsi="Calibri"/>
          <w:color w:val="2B2B2B"/>
          <w:sz w:val="22"/>
          <w:szCs w:val="22"/>
        </w:rPr>
        <w:t xml:space="preserve">Date of substantial completion, date of first occupancy, date of closing (whichever apply), and the date the homeowner first noticed each defect.</w:t>
      </w:r>
    </w:p>
    <w:p>
      <w:pPr>
        <w:pStyle w:val="ListParagraph"/>
        <w:numPr>
          <w:ilvl w:val="0"/>
          <w:numId w:val="2"/>
        </w:numPr>
        <w:spacing w:after="40" w:before="40" w:line="280"/>
      </w:pPr>
      <w:r>
        <w:rPr>
          <w:rFonts w:ascii="Calibri" w:cs="Calibri" w:eastAsia="Calibri" w:hAnsi="Calibri"/>
          <w:color w:val="2B2B2B"/>
          <w:sz w:val="22"/>
          <w:szCs w:val="22"/>
        </w:rPr>
        <w:t xml:space="preserve">Identification of the builder and any subcontractors implicated.</w:t>
      </w:r>
    </w:p>
    <w:p>
      <w:pPr>
        <w:pStyle w:val="ListParagraph"/>
        <w:numPr>
          <w:ilvl w:val="0"/>
          <w:numId w:val="2"/>
        </w:numPr>
        <w:spacing w:after="40" w:before="40" w:line="280"/>
      </w:pPr>
      <w:r>
        <w:rPr>
          <w:rFonts w:ascii="Calibri" w:cs="Calibri" w:eastAsia="Calibri" w:hAnsi="Calibri"/>
          <w:color w:val="2B2B2B"/>
          <w:sz w:val="22"/>
          <w:szCs w:val="22"/>
        </w:rPr>
        <w:t xml:space="preserve">Reasonably detailed description of each defect, with location, nature, and observed symptoms.</w:t>
      </w:r>
    </w:p>
    <w:p>
      <w:pPr>
        <w:pStyle w:val="ListParagraph"/>
        <w:numPr>
          <w:ilvl w:val="0"/>
          <w:numId w:val="2"/>
        </w:numPr>
        <w:spacing w:after="40" w:before="40" w:line="280"/>
      </w:pPr>
      <w:r>
        <w:rPr>
          <w:rFonts w:ascii="Calibri" w:cs="Calibri" w:eastAsia="Calibri" w:hAnsi="Calibri"/>
          <w:color w:val="2B2B2B"/>
          <w:sz w:val="22"/>
          <w:szCs w:val="22"/>
        </w:rPr>
        <w:t xml:space="preserve">For each defect, the legal theory being asserted (implied workmanlike-manner duty under Mitchem/Velotta/Kishmarton, breach of written warranty, HCSSA violation, CSPA violation, negligence).</w:t>
      </w:r>
    </w:p>
    <w:p>
      <w:pPr>
        <w:pStyle w:val="ListParagraph"/>
        <w:numPr>
          <w:ilvl w:val="0"/>
          <w:numId w:val="2"/>
        </w:numPr>
        <w:spacing w:after="40" w:before="40" w:line="280"/>
      </w:pPr>
      <w:r>
        <w:rPr>
          <w:rFonts w:ascii="Calibri" w:cs="Calibri" w:eastAsia="Calibri" w:hAnsi="Calibri"/>
          <w:color w:val="2B2B2B"/>
          <w:sz w:val="22"/>
          <w:szCs w:val="22"/>
        </w:rPr>
        <w:t xml:space="preserve">Any third-party inspection report (general home inspection, structural engineer, master-trade specialist).</w:t>
      </w:r>
    </w:p>
    <w:p>
      <w:pPr>
        <w:pStyle w:val="ListParagraph"/>
        <w:numPr>
          <w:ilvl w:val="0"/>
          <w:numId w:val="2"/>
        </w:numPr>
        <w:spacing w:after="40" w:before="40" w:line="280"/>
      </w:pPr>
      <w:r>
        <w:rPr>
          <w:rFonts w:ascii="Calibri" w:cs="Calibri" w:eastAsia="Calibri" w:hAnsi="Calibri"/>
          <w:color w:val="2B2B2B"/>
          <w:sz w:val="22"/>
          <w:szCs w:val="22"/>
        </w:rPr>
        <w:t xml:space="preserve">Express invocation of R.C. § 1312.04 and the 60-day notice period. State that the homeowner may commence a dwelling action if the builder does not provide a satisfactory written response within 21 days, and after the 60-day period if no acceptable resolution is reached.</w:t>
      </w:r>
    </w:p>
    <w:p>
      <w:pPr>
        <w:pStyle w:val="ListParagraph"/>
        <w:numPr>
          <w:ilvl w:val="0"/>
          <w:numId w:val="2"/>
        </w:numPr>
        <w:spacing w:after="40" w:before="40" w:line="280"/>
      </w:pPr>
      <w:r>
        <w:rPr>
          <w:rFonts w:ascii="Calibri" w:cs="Calibri" w:eastAsia="Calibri" w:hAnsi="Calibri"/>
          <w:color w:val="2B2B2B"/>
          <w:sz w:val="22"/>
          <w:szCs w:val="22"/>
        </w:rPr>
        <w:t xml:space="preserve">A proposed inspection access protocol and reasonable dates.</w:t>
      </w:r>
    </w:p>
    <w:p>
      <w:pPr>
        <w:pStyle w:val="ListParagraph"/>
        <w:numPr>
          <w:ilvl w:val="0"/>
          <w:numId w:val="2"/>
        </w:numPr>
        <w:spacing w:after="40" w:before="40" w:line="280"/>
      </w:pPr>
      <w:r>
        <w:rPr>
          <w:rFonts w:ascii="Calibri" w:cs="Calibri" w:eastAsia="Calibri" w:hAnsi="Calibri"/>
          <w:color w:val="2B2B2B"/>
          <w:sz w:val="22"/>
          <w:szCs w:val="22"/>
        </w:rPr>
        <w:t xml:space="preserve">Statement of the remedy sought (repair by builder, repair by independent contractor at builder's cost, settlement, refund) and a dollar figure where known.</w:t>
      </w:r>
    </w:p>
    <w:p>
      <w:pPr>
        <w:pStyle w:val="ListParagraph"/>
        <w:numPr>
          <w:ilvl w:val="0"/>
          <w:numId w:val="2"/>
        </w:numPr>
        <w:spacing w:after="40" w:before="40" w:line="280"/>
      </w:pPr>
      <w:r>
        <w:rPr>
          <w:rFonts w:ascii="Calibri" w:cs="Calibri" w:eastAsia="Calibri" w:hAnsi="Calibri"/>
          <w:color w:val="2B2B2B"/>
          <w:sz w:val="22"/>
          <w:szCs w:val="22"/>
        </w:rPr>
        <w:t xml:space="preserve">Reservation of all rights, including under the limited warranty, the Consumer Sales Practices Act, and HCSSA.</w:t>
      </w:r>
    </w:p>
    <w:p>
      <w:pPr>
        <w:pStyle w:val="ListParagraph"/>
        <w:numPr>
          <w:ilvl w:val="0"/>
          <w:numId w:val="2"/>
        </w:numPr>
        <w:spacing w:after="40" w:before="40" w:line="280"/>
      </w:pPr>
      <w:r>
        <w:rPr>
          <w:rFonts w:ascii="Calibri" w:cs="Calibri" w:eastAsia="Calibri" w:hAnsi="Calibri"/>
          <w:color w:val="2B2B2B"/>
          <w:sz w:val="22"/>
          <w:szCs w:val="22"/>
        </w:rPr>
        <w:t xml:space="preserve">Signature and certified-mail tracking number; service by certified mail, return receipt requested (the statute permits other channels but certified mail preserves clean proof of receipt and the date the 21-day clock starts running).</w:t>
      </w:r>
    </w:p>
    <w:p>
      <w:pPr>
        <w:pStyle w:val="ListParagraph"/>
        <w:numPr>
          <w:ilvl w:val="0"/>
          <w:numId w:val="2"/>
        </w:numPr>
        <w:spacing w:after="40" w:before="40" w:line="280"/>
      </w:pPr>
      <w:r>
        <w:rPr>
          <w:rFonts w:ascii="Calibri" w:cs="Calibri" w:eastAsia="Calibri" w:hAnsi="Calibri"/>
          <w:color w:val="2B2B2B"/>
          <w:sz w:val="22"/>
          <w:szCs w:val="22"/>
        </w:rPr>
        <w:t xml:space="preserve">Attached evidence appendix — photo log, defect schedule, communications log, inspection report.</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8. Complaint Channels</w:t>
      </w:r>
    </w:p>
    <w:p>
      <w:pPr>
        <w:pStyle w:val="Heading2"/>
        <w:keepNext/>
        <w:spacing w:after="120" w:before="260"/>
      </w:pPr>
      <w:r>
        <w:rPr>
          <w:rFonts w:ascii="Calibri" w:cs="Calibri" w:eastAsia="Calibri" w:hAnsi="Calibri"/>
          <w:b/>
          <w:bCs/>
          <w:color w:val="2B2B2B"/>
          <w:sz w:val="28"/>
          <w:szCs w:val="28"/>
        </w:rPr>
        <w:t xml:space="preserve">Ohio Attorney General — Consumer Protection Section</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Online complaint and assistance: </w:t>
      </w:r>
      <w:hyperlink w:history="1" r:id="rIdp6_qwpg5-p57b5hg0e-oi">
        <w:r>
          <w:rPr>
            <w:rFonts w:ascii="Calibri" w:cs="Calibri" w:eastAsia="Calibri" w:hAnsi="Calibri"/>
            <w:color w:val="1F3A68"/>
            <w:sz w:val="22"/>
            <w:szCs w:val="22"/>
            <w:u w:val="single"/>
          </w:rPr>
          <w:t xml:space="preserve">ohioattorneygeneral.gov/Individuals-and-Families/Consumers/File-A-Complaint</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Hotline: </w:t>
      </w:r>
      <w:r>
        <w:rPr>
          <w:rFonts w:ascii="Calibri" w:cs="Calibri" w:eastAsia="Calibri" w:hAnsi="Calibri"/>
          <w:color w:val="2B2B2B"/>
          <w:sz w:val="22"/>
          <w:szCs w:val="22"/>
        </w:rPr>
        <w:t xml:space="preserve">1-800-282-0515.</w:t>
      </w:r>
    </w:p>
    <w:p>
      <w:pPr>
        <w:pStyle w:val="ListParagraph"/>
        <w:numPr>
          <w:ilvl w:val="0"/>
          <w:numId w:val="2"/>
        </w:numPr>
        <w:spacing w:after="40" w:before="40" w:line="280"/>
      </w:pPr>
      <w:r>
        <w:rPr>
          <w:rFonts w:ascii="Calibri" w:cs="Calibri" w:eastAsia="Calibri" w:hAnsi="Calibri"/>
          <w:color w:val="2B2B2B"/>
          <w:sz w:val="22"/>
          <w:szCs w:val="22"/>
        </w:rPr>
        <w:t xml:space="preserve">Handles deceptive trade practices, CSPA referrals, residential contractor disputes. The AG does not litigate individual cases but maintains complaint records that can be used to demonstrate a pattern of misconduct.</w:t>
      </w:r>
    </w:p>
    <w:p>
      <w:pPr>
        <w:pStyle w:val="Heading2"/>
        <w:keepNext/>
        <w:spacing w:after="120" w:before="260"/>
      </w:pPr>
      <w:r>
        <w:rPr>
          <w:rFonts w:ascii="Calibri" w:cs="Calibri" w:eastAsia="Calibri" w:hAnsi="Calibri"/>
          <w:b/>
          <w:bCs/>
          <w:color w:val="2B2B2B"/>
          <w:sz w:val="28"/>
          <w:szCs w:val="28"/>
        </w:rPr>
        <w:t xml:space="preserve">Ohio Department of Commerce — Division of Industrial Compliance and OCILB</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Complaints against OCILB-licensed trades (electrical, plumbing, HVAC, hydronics, refrigeration): </w:t>
      </w:r>
      <w:hyperlink w:history="1" r:id="rId7fl5o22ksodfp4nwcxfhs">
        <w:r>
          <w:rPr>
            <w:rFonts w:ascii="Calibri" w:cs="Calibri" w:eastAsia="Calibri" w:hAnsi="Calibri"/>
            <w:color w:val="1F3A68"/>
            <w:sz w:val="22"/>
            <w:szCs w:val="22"/>
            <w:u w:val="single"/>
          </w:rPr>
          <w:t xml:space="preserve">com.ohio.gov</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OCILB main page: </w:t>
      </w:r>
      <w:hyperlink w:history="1" r:id="rIdgrjkc5zfv721kk6gcn6hv">
        <w:r>
          <w:rPr>
            <w:rFonts w:ascii="Calibri" w:cs="Calibri" w:eastAsia="Calibri" w:hAnsi="Calibri"/>
            <w:color w:val="1F3A68"/>
            <w:sz w:val="22"/>
            <w:szCs w:val="22"/>
            <w:u w:val="single"/>
          </w:rPr>
          <w:t xml:space="preserve">com.ohio.gov OCILB</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License lookup: </w:t>
      </w:r>
      <w:hyperlink w:history="1" r:id="rIdbnnsgzqkuamotoo1vasu9">
        <w:r>
          <w:rPr>
            <w:rFonts w:ascii="Calibri" w:cs="Calibri" w:eastAsia="Calibri" w:hAnsi="Calibri"/>
            <w:color w:val="1F3A68"/>
            <w:sz w:val="22"/>
            <w:szCs w:val="22"/>
            <w:u w:val="single"/>
          </w:rPr>
          <w:t xml:space="preserve">elicense4.com.ohio.gov</w:t>
        </w:r>
      </w:hyperlink>
      <w:r>
        <w:rPr>
          <w:rFonts w:ascii="Calibri" w:cs="Calibri" w:eastAsia="Calibri" w:hAnsi="Calibri"/>
          <w:color w:val="2B2B2B"/>
          <w:sz w:val="22"/>
          <w:szCs w:val="22"/>
        </w:rPr>
        <w:t xml:space="preserve">.</w:t>
      </w:r>
    </w:p>
    <w:p>
      <w:pPr>
        <w:pStyle w:val="ListParagraph"/>
        <w:numPr>
          <w:ilvl w:val="0"/>
          <w:numId w:val="2"/>
        </w:numPr>
        <w:spacing w:after="40" w:before="40" w:line="280"/>
      </w:pPr>
      <w:r>
        <w:rPr>
          <w:rFonts w:ascii="Calibri" w:cs="Calibri" w:eastAsia="Calibri" w:hAnsi="Calibri"/>
          <w:color w:val="2B2B2B"/>
          <w:sz w:val="22"/>
          <w:szCs w:val="22"/>
        </w:rPr>
        <w:t xml:space="preserve">Phone: 614-644-3493.</w:t>
      </w:r>
    </w:p>
    <w:p>
      <w:pPr>
        <w:pStyle w:val="Heading2"/>
        <w:keepNext/>
        <w:spacing w:after="120" w:before="260"/>
      </w:pPr>
      <w:r>
        <w:rPr>
          <w:rFonts w:ascii="Calibri" w:cs="Calibri" w:eastAsia="Calibri" w:hAnsi="Calibri"/>
          <w:b/>
          <w:bCs/>
          <w:color w:val="2B2B2B"/>
          <w:sz w:val="28"/>
          <w:szCs w:val="28"/>
        </w:rPr>
        <w:t xml:space="preserve">Local building code enforcement</w:t>
      </w:r>
    </w:p>
    <w:p>
      <w:pPr>
        <w:spacing w:after="80" w:before="80" w:line="300"/>
        <w:jc w:val="left"/>
      </w:pPr>
      <w:r>
        <w:rPr>
          <w:rFonts w:ascii="Calibri" w:cs="Calibri" w:eastAsia="Calibri" w:hAnsi="Calibri"/>
          <w:b w:val="false"/>
          <w:bCs w:val="false"/>
          <w:i w:val="false"/>
          <w:iCs w:val="false"/>
          <w:color w:val="2B2B2B"/>
          <w:sz w:val="22"/>
          <w:szCs w:val="22"/>
        </w:rPr>
        <w:t xml:space="preserve">Permits and inspections are administered at the local level. Most counties and cities issue building permits and conduct rough and final inspections under the Ohio Residential Code (OAC 4101:8 series), which is based on the International Residential Code with Ohio amendments. Code-violation complaints to the local Building Department can trigger re-inspection, stop-work orders, or certificate-of-occupancy revocation. Coverage and enforcement vigor vary by jurisdiction.</w:t>
      </w:r>
    </w:p>
    <w:p>
      <w:pPr>
        <w:pStyle w:val="Heading2"/>
        <w:keepNext/>
        <w:spacing w:after="120" w:before="260"/>
      </w:pPr>
      <w:r>
        <w:rPr>
          <w:rFonts w:ascii="Calibri" w:cs="Calibri" w:eastAsia="Calibri" w:hAnsi="Calibri"/>
          <w:b/>
          <w:bCs/>
          <w:color w:val="2B2B2B"/>
          <w:sz w:val="28"/>
          <w:szCs w:val="28"/>
        </w:rPr>
        <w:t xml:space="preserve">Industry associations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Ohio Home Builders Association (OHBA): </w:t>
      </w:r>
      <w:hyperlink w:history="1" r:id="rIdp6ukqdwxj52f7xtogvlbi">
        <w:r>
          <w:rPr>
            <w:rFonts w:ascii="Calibri" w:cs="Calibri" w:eastAsia="Calibri" w:hAnsi="Calibri"/>
            <w:color w:val="1F3A68"/>
            <w:sz w:val="22"/>
            <w:szCs w:val="22"/>
            <w:u w:val="single"/>
          </w:rPr>
          <w:t xml:space="preserve">ohiohba.com</w:t>
        </w:r>
      </w:hyperlink>
      <w:r>
        <w:rPr>
          <w:rFonts w:ascii="Calibri" w:cs="Calibri" w:eastAsia="Calibri" w:hAnsi="Calibri"/>
          <w:color w:val="2B2B2B"/>
          <w:sz w:val="22"/>
          <w:szCs w:val="22"/>
        </w:rPr>
        <w:t xml:space="preserve">. Local chapters include the HBA of Greater Cincinnati, the HBA of Central Ohio (Columbus), and the Building Industry Association of Cleveland / Building Industry Association of Northeast Ohio (BIA-NEO). Chapters do not generally run binding dispute-resolution programs but may offer informal mediation referrals or consumer-affairs committees for member-builder disputes.</w:t>
      </w:r>
    </w:p>
    <w:p>
      <w:pPr>
        <w:pStyle w:val="ListParagraph"/>
        <w:numPr>
          <w:ilvl w:val="0"/>
          <w:numId w:val="2"/>
        </w:numPr>
        <w:spacing w:after="40" w:before="40" w:line="280"/>
      </w:pPr>
      <w:r>
        <w:rPr>
          <w:rFonts w:ascii="Calibri" w:cs="Calibri" w:eastAsia="Calibri" w:hAnsi="Calibri"/>
          <w:b/>
          <w:bCs/>
          <w:i w:val="false"/>
          <w:iCs w:val="false"/>
          <w:color w:val="2B2B2B"/>
          <w:sz w:val="22"/>
          <w:szCs w:val="22"/>
        </w:rPr>
        <w:t xml:space="preserve">Better Business Bureau: </w:t>
      </w:r>
      <w:hyperlink w:history="1" r:id="rIdy7irlckpma5r4wqpniigw">
        <w:r>
          <w:rPr>
            <w:rFonts w:ascii="Calibri" w:cs="Calibri" w:eastAsia="Calibri" w:hAnsi="Calibri"/>
            <w:color w:val="1F3A68"/>
            <w:sz w:val="22"/>
            <w:szCs w:val="22"/>
            <w:u w:val="single"/>
          </w:rPr>
          <w:t xml:space="preserve">bbb.org</w:t>
        </w:r>
      </w:hyperlink>
      <w:r>
        <w:rPr>
          <w:rFonts w:ascii="Calibri" w:cs="Calibri" w:eastAsia="Calibri" w:hAnsi="Calibri"/>
          <w:color w:val="2B2B2B"/>
          <w:sz w:val="22"/>
          <w:szCs w:val="22"/>
        </w:rPr>
        <w:t xml:space="preserve">. Non-binding complaint and mediation services; useful for paper trail and public-facing pressure.</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9. Court Jurisdiction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2000"/>
        <w:gridCol w:w="2560"/>
      </w:tblGrid>
      <w:tr>
        <w:trPr>
          <w:tblHeader/>
        </w:trPr>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Court</w:t>
            </w:r>
          </w:p>
        </w:tc>
        <w:tc>
          <w:tcPr>
            <w:tcW w:type="dxa" w:w="24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Dollar limit</w:t>
            </w:r>
          </w:p>
        </w:tc>
        <w:tc>
          <w:tcPr>
            <w:tcW w:type="dxa" w:w="20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Statute</w:t>
            </w:r>
          </w:p>
        </w:tc>
        <w:tc>
          <w:tcPr>
            <w:tcW w:type="dxa" w:w="25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Notes</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Small Claims (within Municipal Court)</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$6,000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1925.02</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Simplified procedure; parties may appear with or without counsel.</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Municipal Court — general civil</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$15,000</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 1901.17</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Full civil procedure but limited discovery.</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Court of Common Pleas</w:t>
            </w:r>
          </w:p>
        </w:tc>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Over $15,000 (no upper cap)</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Ohio Const. Art. IV</w:t>
            </w:r>
          </w:p>
        </w:tc>
        <w:tc>
          <w:tcPr>
            <w:tcW w:type="dxa" w:w="2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General jurisdiction; full discovery; jury trial available; most defect cases proceed here.</w:t>
            </w:r>
          </w:p>
        </w:tc>
      </w:tr>
    </w:tbl>
    <w:p>
      <w:pPr>
        <w:spacing w:after="80" w:before="120" w:line="300"/>
        <w:jc w:val="left"/>
      </w:pPr>
      <w:r>
        <w:rPr>
          <w:rFonts w:ascii="Calibri" w:cs="Calibri" w:eastAsia="Calibri" w:hAnsi="Calibri"/>
          <w:b w:val="false"/>
          <w:bCs w:val="false"/>
          <w:i w:val="false"/>
          <w:iCs w:val="false"/>
          <w:color w:val="2B2B2B"/>
          <w:sz w:val="22"/>
          <w:szCs w:val="22"/>
        </w:rPr>
        <w:t xml:space="preserve">Venue is the county where the property sits. Most meaningful new-home defect cases — where the cost of repair exceeds $15,000 — proceed in the Court of Common Pleas.</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10. Damages</w:t>
      </w:r>
    </w:p>
    <w:p>
      <w:pPr>
        <w:pStyle w:val="Heading2"/>
        <w:keepNext/>
        <w:spacing w:after="120" w:before="260"/>
      </w:pPr>
      <w:r>
        <w:rPr>
          <w:rFonts w:ascii="Calibri" w:cs="Calibri" w:eastAsia="Calibri" w:hAnsi="Calibri"/>
          <w:b/>
          <w:bCs/>
          <w:color w:val="2B2B2B"/>
          <w:sz w:val="28"/>
          <w:szCs w:val="28"/>
        </w:rPr>
        <w:t xml:space="preserve">Implied workmanlike-manner claim</w:t>
      </w:r>
    </w:p>
    <w:p>
      <w:pPr>
        <w:spacing w:after="80" w:before="80" w:line="300"/>
        <w:jc w:val="left"/>
      </w:pPr>
      <w:r>
        <w:rPr>
          <w:rFonts w:ascii="Calibri" w:cs="Calibri" w:eastAsia="Calibri" w:hAnsi="Calibri"/>
          <w:b w:val="false"/>
          <w:bCs w:val="false"/>
          <w:i w:val="false"/>
          <w:iCs w:val="false"/>
          <w:color w:val="2B2B2B"/>
          <w:sz w:val="22"/>
          <w:szCs w:val="22"/>
        </w:rPr>
        <w:t xml:space="preserve">Cost of repair or diminution in market value, whichever is reasonable in the circumstances. Emotional-distress damages are not recoverable absent bodily harm or a particularly likely emotional-distress consequence.</w:t>
      </w:r>
    </w:p>
    <w:p>
      <w:pPr>
        <w:pStyle w:val="Heading2"/>
        <w:keepNext/>
        <w:spacing w:after="120" w:before="260"/>
      </w:pPr>
      <w:r>
        <w:rPr>
          <w:rFonts w:ascii="Calibri" w:cs="Calibri" w:eastAsia="Calibri" w:hAnsi="Calibri"/>
          <w:b/>
          <w:bCs/>
          <w:color w:val="2B2B2B"/>
          <w:sz w:val="28"/>
          <w:szCs w:val="28"/>
        </w:rPr>
        <w:t xml:space="preserve">Breach of contract / express warranty</w:t>
      </w:r>
    </w:p>
    <w:p>
      <w:pPr>
        <w:spacing w:after="80" w:before="80" w:line="300"/>
        <w:jc w:val="left"/>
      </w:pPr>
      <w:r>
        <w:rPr>
          <w:rFonts w:ascii="Calibri" w:cs="Calibri" w:eastAsia="Calibri" w:hAnsi="Calibri"/>
          <w:b w:val="false"/>
          <w:bCs w:val="false"/>
          <w:i w:val="false"/>
          <w:iCs w:val="false"/>
          <w:color w:val="2B2B2B"/>
          <w:sz w:val="22"/>
          <w:szCs w:val="22"/>
        </w:rPr>
        <w:t xml:space="preserve">Standard contract damages — benefit of the bargain. Cost of repair recoverable where reasonable. Consequential damages recoverable if foreseeable at contract formation and not validly excluded. Most limited warranties exclude consequential damages and Ohio courts enforce those exclusions absent unconscionability.</w:t>
      </w:r>
    </w:p>
    <w:p>
      <w:pPr>
        <w:pStyle w:val="Heading2"/>
        <w:keepNext/>
        <w:spacing w:after="120" w:before="260"/>
      </w:pPr>
      <w:r>
        <w:rPr>
          <w:rFonts w:ascii="Calibri" w:cs="Calibri" w:eastAsia="Calibri" w:hAnsi="Calibri"/>
          <w:b/>
          <w:bCs/>
          <w:color w:val="2B2B2B"/>
          <w:sz w:val="28"/>
          <w:szCs w:val="28"/>
        </w:rPr>
        <w:t xml:space="preserve">Attorney's fees</w:t>
      </w:r>
    </w:p>
    <w:p>
      <w:pPr>
        <w:spacing w:after="80" w:before="80" w:line="300"/>
        <w:jc w:val="left"/>
      </w:pPr>
      <w:r>
        <w:rPr>
          <w:rFonts w:ascii="Calibri" w:cs="Calibri" w:eastAsia="Calibri" w:hAnsi="Calibri"/>
          <w:b w:val="false"/>
          <w:bCs w:val="false"/>
          <w:i w:val="false"/>
          <w:iCs w:val="false"/>
          <w:color w:val="2B2B2B"/>
          <w:sz w:val="22"/>
          <w:szCs w:val="22"/>
        </w:rPr>
        <w:t xml:space="preserve">Ohio follows the American Rule. Fees are not recoverable unless authorized by contract or statute. Consumer Sales Practices Act provides a fee-shifting remedy for knowing violations (R.C. § 1345.09). HCSSA expressly limits recovery to the statute's own remedies and caps non-economic damages at $5,000.</w:t>
      </w:r>
    </w:p>
    <w:p>
      <w:pPr>
        <w:pStyle w:val="Heading2"/>
        <w:keepNext/>
        <w:spacing w:after="120" w:before="260"/>
      </w:pPr>
      <w:r>
        <w:rPr>
          <w:rFonts w:ascii="Calibri" w:cs="Calibri" w:eastAsia="Calibri" w:hAnsi="Calibri"/>
          <w:b/>
          <w:bCs/>
          <w:color w:val="2B2B2B"/>
          <w:sz w:val="28"/>
          <w:szCs w:val="28"/>
        </w:rPr>
        <w:t xml:space="preserve">Treble damages</w:t>
      </w:r>
    </w:p>
    <w:p>
      <w:pPr>
        <w:spacing w:after="80" w:before="80" w:line="300"/>
        <w:jc w:val="left"/>
      </w:pPr>
      <w:r>
        <w:rPr>
          <w:rFonts w:ascii="Calibri" w:cs="Calibri" w:eastAsia="Calibri" w:hAnsi="Calibri"/>
          <w:b w:val="false"/>
          <w:bCs w:val="false"/>
          <w:i w:val="false"/>
          <w:iCs w:val="false"/>
          <w:color w:val="2B2B2B"/>
          <w:sz w:val="22"/>
          <w:szCs w:val="22"/>
        </w:rPr>
        <w:t xml:space="preserve">CSPA only (R.C. § 1345.09(B)). Not available under HCSSA. After HB 50, many remodeling and renovation projects that would previously have supported a CSPA treble-damages claim are now routed to HCSSA's more modest remedy structure.</w:t>
      </w:r>
    </w:p>
    <w:p>
      <w:pPr>
        <w:pStyle w:val="Heading2"/>
        <w:keepNext/>
        <w:spacing w:after="120" w:before="260"/>
      </w:pPr>
      <w:r>
        <w:rPr>
          <w:rFonts w:ascii="Calibri" w:cs="Calibri" w:eastAsia="Calibri" w:hAnsi="Calibri"/>
          <w:b/>
          <w:bCs/>
          <w:color w:val="2B2B2B"/>
          <w:sz w:val="28"/>
          <w:szCs w:val="28"/>
        </w:rPr>
        <w:t xml:space="preserve">Punitive damages</w:t>
      </w:r>
    </w:p>
    <w:p>
      <w:pPr>
        <w:spacing w:after="80" w:before="80" w:line="300"/>
        <w:jc w:val="left"/>
      </w:pPr>
      <w:r>
        <w:rPr>
          <w:rFonts w:ascii="Calibri" w:cs="Calibri" w:eastAsia="Calibri" w:hAnsi="Calibri"/>
          <w:b w:val="false"/>
          <w:bCs w:val="false"/>
          <w:i w:val="false"/>
          <w:iCs w:val="false"/>
          <w:color w:val="2B2B2B"/>
          <w:sz w:val="22"/>
          <w:szCs w:val="22"/>
        </w:rPr>
        <w:t xml:space="preserve">Available on a separate tort theory (fraud, fraudulent suppression, wanton conduct, insurance bad faith). Capped under R.C. § 2315.21 at two times compensatory damages. For small employers and individuals, capped at the lesser of two times compensatory damages or 10 percent of net worth, with a maximum of $350,000.</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11. Recommended Sequencing</w:t>
      </w:r>
    </w:p>
    <w:p>
      <w:pPr>
        <w:spacing w:after="80" w:before="80" w:line="300"/>
        <w:jc w:val="left"/>
      </w:pPr>
      <w:r>
        <w:rPr>
          <w:rFonts w:ascii="Calibri" w:cs="Calibri" w:eastAsia="Calibri" w:hAnsi="Calibri"/>
          <w:b w:val="false"/>
          <w:bCs w:val="false"/>
          <w:i w:val="false"/>
          <w:iCs w:val="false"/>
          <w:color w:val="2B2B2B"/>
          <w:sz w:val="22"/>
          <w:szCs w:val="22"/>
        </w:rPr>
        <w:t xml:space="preserve">This is a general sequencing template, not a fixed timeline. Specific deadlines depend on the date of substantial completion, the date the homeowner first noticed the defect, the terms of any limited warranty, and the type of contract (build-to-suit vs. purchase of a completed home).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rPr>
          <w:tblHeader/>
        </w:trPr>
        <w:tc>
          <w:tcPr>
            <w:tcW w:type="dxa" w:w="150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w:t>
            </w:r>
          </w:p>
        </w:tc>
        <w:tc>
          <w:tcPr>
            <w:tcW w:type="dxa" w:w="7860"/>
            <w:tcBorders>
              <w:top w:val="single" w:color="BFBFBF" w:sz="4"/>
              <w:left w:val="single" w:color="BFBFBF" w:sz="4"/>
              <w:bottom w:val="single" w:color="BFBFBF" w:sz="4"/>
              <w:right w:val="single" w:color="BFBFBF" w:sz="4"/>
            </w:tcBorders>
            <w:shd w:fill="EFEFEF" w:val="clear"/>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Action</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0</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Homeowner first notices the defect. Photograph and date-stamp. Save voicemails, texts, emails. Pull the closing package, any written warranty, the builder contract, and any HCSSA-required documents (insurance certificate, etc.).</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0–7</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Third-party inspection — licensed home inspector, structural engineer, or master-trade specialist. Preserve original report, photographs, moisture-meter readings, and chain of custody. Do not undertake destructive testing before the builder has been given an opportunity to inspect.</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7–14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Engage Ohio counsel. Provide the intake form, photo log, communications log, and inspection report.</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Serve the R.C. § 1312.04 notice on the builder by certified mail, return receipt requested. This is the mandatory 60-day notice. Email or fax is statutorily acceptable but certified mail preserves clean proof of service.</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14–35</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Builder's 21-day response window runs under R.C. § 1312.05. The builder must respond in writing with an offer to inspect, an offer to settle without inspection, or a dispute of the claim.</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35–74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the builder offers to inspect, allow reasonable access. After inspection the builder may make a settlement or repair offer; the homeowner may accept, reject, or counter (R.C. §§ 1312.05–1312.06).</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Day 74+</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If no acceptable resolution emerges, the homeowner may file a dwelling action after the 60-day notice period has elapsed (R.C. § 1312.07). File AG, BBB, and (where applicable) OCILB or local code-enforcement complaints in parallel.</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Before filing suit</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Confirm the limitations clocks: 4 years from accrual for Velotta tort claims under § 2305.09; 6 years for written-contract claims under § 2305.06; 4 years for oral/implied contracts under § 2305.07. Confirm the 10-year statute of repose under § 2305.131 has not run from substantial completion.</w:t>
            </w:r>
          </w:p>
        </w:tc>
      </w:tr>
      <w:tr>
        <w:tc>
          <w:tcPr>
            <w:tcW w:type="dxa" w:w="1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bCs/>
                <w:color w:val="2B2B2B"/>
                <w:sz w:val="20"/>
                <w:szCs w:val="20"/>
              </w:rPr>
              <w:t xml:space="preserve">At filing</w:t>
            </w:r>
          </w:p>
        </w:tc>
        <w:tc>
          <w:tcPr>
            <w:tcW w:type="dxa" w:w="78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spacing w:after="40" w:before="40" w:line="260"/>
              <w:jc w:val="left"/>
            </w:pPr>
            <w:r>
              <w:rPr>
                <w:rFonts w:ascii="Calibri" w:cs="Calibri" w:eastAsia="Calibri" w:hAnsi="Calibri"/>
                <w:b w:val="false"/>
                <w:bCs w:val="false"/>
                <w:color w:val="2B2B2B"/>
                <w:sz w:val="20"/>
                <w:szCs w:val="20"/>
              </w:rPr>
              <w:t xml:space="preserve">File in the Court of Common Pleas for the county where the property sits if the cost-of-repair claim exceeds $15,000; Municipal Court for claims under $15,000; Small Claims for under $6,000.</w:t>
            </w:r>
          </w:p>
        </w:tc>
      </w:tr>
    </w:tbl>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12. Common Surprises and Misstatements</w:t>
      </w:r>
    </w:p>
    <w:p>
      <w:pPr>
        <w:pStyle w:val="ListParagraph"/>
        <w:numPr>
          <w:ilvl w:val="0"/>
          <w:numId w:val="3"/>
        </w:numPr>
        <w:spacing w:after="60" w:before="60" w:line="280"/>
      </w:pPr>
      <w:r>
        <w:rPr>
          <w:rFonts w:ascii="Calibri" w:cs="Calibri" w:eastAsia="Calibri" w:hAnsi="Calibri"/>
          <w:color w:val="2B2B2B"/>
          <w:sz w:val="22"/>
          <w:szCs w:val="22"/>
        </w:rPr>
        <w:t xml:space="preserve">Ohio does not license residential general contractors at the state level. Only five specialty trades (electrical, plumbing, HVAC, hydronics, refrigeration) are licensed by the OCILB. General contractor licensing exists only where the local jurisdiction imposes it.</w:t>
      </w:r>
    </w:p>
    <w:p>
      <w:pPr>
        <w:pStyle w:val="ListParagraph"/>
        <w:numPr>
          <w:ilvl w:val="0"/>
          <w:numId w:val="3"/>
        </w:numPr>
        <w:spacing w:after="60" w:before="60" w:line="280"/>
      </w:pPr>
      <w:r>
        <w:rPr>
          <w:rFonts w:ascii="Calibri" w:cs="Calibri" w:eastAsia="Calibri" w:hAnsi="Calibri"/>
          <w:color w:val="2B2B2B"/>
          <w:sz w:val="22"/>
          <w:szCs w:val="22"/>
        </w:rPr>
        <w:t xml:space="preserve">The implied duty to construct in a workmanlike manner cannot be waived by contract (Jones v. Centex Homes, 2012). Production-builder forms with limited-warranty disclaimers do not eliminate the duty. This distinguishes Ohio from many other states that enforce written disclaimers.</w:t>
      </w:r>
    </w:p>
    <w:p>
      <w:pPr>
        <w:pStyle w:val="ListParagraph"/>
        <w:numPr>
          <w:ilvl w:val="0"/>
          <w:numId w:val="3"/>
        </w:numPr>
        <w:spacing w:after="60" w:before="60" w:line="280"/>
      </w:pPr>
      <w:r>
        <w:rPr>
          <w:rFonts w:ascii="Calibri" w:cs="Calibri" w:eastAsia="Calibri" w:hAnsi="Calibri"/>
          <w:color w:val="2B2B2B"/>
          <w:sz w:val="22"/>
          <w:szCs w:val="22"/>
        </w:rPr>
        <w:t xml:space="preserve">The Chapter 1312 60-day notice is mandatory and is the single biggest practitioner trap. Failure to serve the notice before filing suit requires dismissal without prejudice, and the limitations clock does not stop running during the original proceeding.</w:t>
      </w:r>
    </w:p>
    <w:p>
      <w:pPr>
        <w:pStyle w:val="ListParagraph"/>
        <w:numPr>
          <w:ilvl w:val="0"/>
          <w:numId w:val="3"/>
        </w:numPr>
        <w:spacing w:after="60" w:before="60" w:line="280"/>
      </w:pPr>
      <w:r>
        <w:rPr>
          <w:rFonts w:ascii="Calibri" w:cs="Calibri" w:eastAsia="Calibri" w:hAnsi="Calibri"/>
          <w:color w:val="2B2B2B"/>
          <w:sz w:val="22"/>
          <w:szCs w:val="22"/>
        </w:rPr>
        <w:t xml:space="preserve">Subsequent purchasers can sue the original builder for latent defects in negligence (McMillan v. Brune-Harpenau-Torbeck Builders, 1983). The 10-year statute of repose runs from the original substantial completion, not from the resale.</w:t>
      </w:r>
    </w:p>
    <w:p>
      <w:pPr>
        <w:pStyle w:val="ListParagraph"/>
        <w:numPr>
          <w:ilvl w:val="0"/>
          <w:numId w:val="3"/>
        </w:numPr>
        <w:spacing w:after="60" w:before="60" w:line="280"/>
      </w:pPr>
      <w:r>
        <w:rPr>
          <w:rFonts w:ascii="Calibri" w:cs="Calibri" w:eastAsia="Calibri" w:hAnsi="Calibri"/>
          <w:color w:val="2B2B2B"/>
          <w:sz w:val="22"/>
          <w:szCs w:val="22"/>
        </w:rPr>
        <w:t xml:space="preserve">HB 50, effective September 20, 2024, swept remodeling and renovation projects above $25,000 into HCSSA. Treble damages are no longer available for those projects under the Consumer Sales Practices Act; HCSSA's remedies (including a $5,000 cap on non-economic damages) apply instead. Contracts signed before that date are governed by the prior law.</w:t>
      </w:r>
    </w:p>
    <w:p>
      <w:pPr>
        <w:pStyle w:val="ListParagraph"/>
        <w:numPr>
          <w:ilvl w:val="0"/>
          <w:numId w:val="3"/>
        </w:numPr>
        <w:spacing w:after="60" w:before="60" w:line="280"/>
      </w:pPr>
      <w:r>
        <w:rPr>
          <w:rFonts w:ascii="Calibri" w:cs="Calibri" w:eastAsia="Calibri" w:hAnsi="Calibri"/>
          <w:color w:val="2B2B2B"/>
          <w:sz w:val="22"/>
          <w:szCs w:val="22"/>
        </w:rPr>
        <w:t xml:space="preserve">If the builder is uninsured or under-insured below the $250,000 general-liability threshold required by HCSSA, the contract drops out of HCSSA and back into the Consumer Sales Practices Act. This restores CSPA treble damages and is meaningful litigation leverage.</w:t>
      </w:r>
    </w:p>
    <w:p>
      <w:pPr>
        <w:pStyle w:val="ListParagraph"/>
        <w:numPr>
          <w:ilvl w:val="0"/>
          <w:numId w:val="3"/>
        </w:numPr>
        <w:spacing w:after="60" w:before="60" w:line="280"/>
      </w:pPr>
      <w:r>
        <w:rPr>
          <w:rFonts w:ascii="Calibri" w:cs="Calibri" w:eastAsia="Calibri" w:hAnsi="Calibri"/>
          <w:color w:val="2B2B2B"/>
          <w:sz w:val="22"/>
          <w:szCs w:val="22"/>
        </w:rPr>
        <w:t xml:space="preserve">Senate Bill 13 (effective June 2021) shortened Ohio's contract limitations periods. Written contracts are now 6 years (down from 8, and 15 before 2012). Oral and implied contracts are now 4 years (down from 6). Practitioners working from older form materials sometimes apply the old periods incorrectly.</w:t>
      </w:r>
    </w:p>
    <w:p>
      <w:pPr>
        <w:pStyle w:val="ListParagraph"/>
        <w:numPr>
          <w:ilvl w:val="0"/>
          <w:numId w:val="3"/>
        </w:numPr>
        <w:spacing w:after="60" w:before="60" w:line="280"/>
      </w:pPr>
      <w:r>
        <w:rPr>
          <w:rFonts w:ascii="Calibri" w:cs="Calibri" w:eastAsia="Calibri" w:hAnsi="Calibri"/>
          <w:color w:val="2B2B2B"/>
          <w:sz w:val="22"/>
          <w:szCs w:val="22"/>
        </w:rPr>
        <w:t xml:space="preserve">The 10-year statute of repose under § 2305.131 applies to contract claims as well as tort claims (New Riegel Local School District, 2019). Counsel cannot escape the repose by re-pleading a tort claim as a breach of contract.</w:t>
      </w:r>
    </w:p>
    <w:p>
      <w:pPr>
        <w:pStyle w:val="ListParagraph"/>
        <w:numPr>
          <w:ilvl w:val="0"/>
          <w:numId w:val="3"/>
        </w:numPr>
        <w:spacing w:after="60" w:before="60" w:line="280"/>
      </w:pPr>
      <w:r>
        <w:rPr>
          <w:rFonts w:ascii="Calibri" w:cs="Calibri" w:eastAsia="Calibri" w:hAnsi="Calibri"/>
          <w:color w:val="2B2B2B"/>
          <w:sz w:val="22"/>
          <w:szCs w:val="22"/>
        </w:rPr>
        <w:t xml:space="preserve">CSPA does not apply to the sale of a new home itself. The pure real-estate transaction is not a consumer transaction under Brown v. Liberty Clubs (1989). CSPA applies to severable services and to home-improvement work below the HCSSA threshold or by uninsured suppliers.</w:t>
      </w:r>
    </w:p>
    <w:p>
      <w:pPr>
        <w:pStyle w:val="ListParagraph"/>
        <w:numPr>
          <w:ilvl w:val="0"/>
          <w:numId w:val="3"/>
        </w:numPr>
        <w:spacing w:after="60" w:before="60" w:line="280"/>
      </w:pPr>
      <w:r>
        <w:rPr>
          <w:rFonts w:ascii="Calibri" w:cs="Calibri" w:eastAsia="Calibri" w:hAnsi="Calibri"/>
          <w:color w:val="2B2B2B"/>
          <w:sz w:val="22"/>
          <w:szCs w:val="22"/>
        </w:rPr>
        <w:t xml:space="preserve">Velotta tort claims accrue at the date of injury subject to a discovery rule for latent defects. The four-year clock under § 2305.09 starts at discovery for latent defects, not at substantial completion — but the ten-year repose under § 2305.131 still imposes the outer wall.</w:t>
      </w:r>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13. Authority Index</w:t>
      </w:r>
    </w:p>
    <w:p>
      <w:pPr>
        <w:pStyle w:val="Heading2"/>
        <w:keepNext/>
        <w:spacing w:after="120" w:before="260"/>
      </w:pPr>
      <w:r>
        <w:rPr>
          <w:rFonts w:ascii="Calibri" w:cs="Calibri" w:eastAsia="Calibri" w:hAnsi="Calibri"/>
          <w:b/>
          <w:bCs/>
          <w:color w:val="2B2B2B"/>
          <w:sz w:val="28"/>
          <w:szCs w:val="28"/>
        </w:rPr>
        <w:t xml:space="preserve">Ohio statutes</w:t>
      </w:r>
    </w:p>
    <w:p>
      <w:pPr>
        <w:pStyle w:val="ListParagraph"/>
        <w:numPr>
          <w:ilvl w:val="0"/>
          <w:numId w:val="2"/>
        </w:numPr>
        <w:spacing w:after="40" w:before="40" w:line="280"/>
      </w:pPr>
      <w:r>
        <w:rPr>
          <w:rFonts w:ascii="Calibri" w:cs="Calibri" w:eastAsia="Calibri" w:hAnsi="Calibri"/>
          <w:color w:val="2B2B2B"/>
          <w:sz w:val="22"/>
          <w:szCs w:val="22"/>
        </w:rPr>
        <w:t xml:space="preserve">O.R.C. Chapter 1312 — Residential Contractor Right to Cure.  </w:t>
      </w:r>
      <w:hyperlink w:history="1" r:id="rIdoiatd8tbirryoete51svf">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1312.04 — owner's 60-day pre-suit notice.  </w:t>
      </w:r>
      <w:hyperlink w:history="1" r:id="rIdt-0odmeza7utodu7uabl8">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1312.05 — builder's 21-day response and inspection process.  </w:t>
      </w:r>
      <w:hyperlink w:history="1" r:id="rIdt1jslg9ztw7xsqbm0qunz">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1312.08 — dismissal without prejudice for non-compliance.  </w:t>
      </w:r>
      <w:hyperlink w:history="1" r:id="rIdtzm93yqxdjzcsgs9o0rmo">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Chapter 4722 — Home Construction Service Suppliers Act.  </w:t>
      </w:r>
      <w:hyperlink w:history="1" r:id="rId8hrqertatdmt7gvbj9nok">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4722.02 — written-contract requirements.  </w:t>
      </w:r>
      <w:hyperlink w:history="1" r:id="rIdxz3zt7cgazgaevpmcog3n">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1345.09 — CSPA private remedies (treble damages and attorney's fees).  </w:t>
      </w:r>
      <w:hyperlink w:history="1" r:id="rIday6ouqdcvczq_kwn17lf6">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1345.10 — CSPA limitations.  </w:t>
      </w:r>
      <w:hyperlink w:history="1" r:id="rIdzk-g3knqvhlnrnffxdqqp">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2305.06 — 6-year limitations on written contracts.  </w:t>
      </w:r>
      <w:hyperlink w:history="1" r:id="rIdxd2xb1_glr6bklv6wcdlf">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2305.07 — 4-year limitations on oral and implied contracts.  </w:t>
      </w:r>
      <w:hyperlink w:history="1" r:id="rIdvpy0e1yqjl67m4tmuille">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2305.09 — 4-year limitations for injury to real or personal property and other torts.  </w:t>
      </w:r>
      <w:hyperlink w:history="1" r:id="rIdfv_ydkb_j_z48iz2tawen">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2305.131 — 10-year statute of repose for improvements to real property.  </w:t>
      </w:r>
      <w:hyperlink w:history="1" r:id="rId3qxkl3qdttru9uu0kid7l">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2315.21 — punitive damages cap.  </w:t>
      </w:r>
      <w:hyperlink w:history="1" r:id="rIdh6w3o_w9ao1hkzqzs0jkb">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1925.02 — Small Claims jurisdiction.  </w:t>
      </w:r>
      <w:hyperlink w:history="1" r:id="rIdyylhtnn2q0qlc0vo3ehxy">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O.R.C. § 1901.17 — Municipal Court civil jurisdiction.  </w:t>
      </w:r>
      <w:hyperlink w:history="1" r:id="rIdbkop6qnnreyokzyh-tzq0">
        <w:r>
          <w:rPr>
            <w:rFonts w:ascii="Calibri" w:cs="Calibri" w:eastAsia="Calibri" w:hAnsi="Calibri"/>
            <w:color w:val="1F3A68"/>
            <w:sz w:val="22"/>
            <w:szCs w:val="22"/>
            <w:u w:val="single"/>
          </w:rPr>
          <w:t xml:space="preserve">codes.ohio.gov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House Bill 50 (135th General Assembly) — HCSSA amendments effective September 20, 2024.  </w:t>
      </w:r>
      <w:hyperlink w:history="1" r:id="rIdslb4x8bgfedm86957chwp">
        <w:r>
          <w:rPr>
            <w:rFonts w:ascii="Calibri" w:cs="Calibri" w:eastAsia="Calibri" w:hAnsi="Calibri"/>
            <w:color w:val="1F3A68"/>
            <w:sz w:val="22"/>
            <w:szCs w:val="22"/>
            <w:u w:val="single"/>
          </w:rPr>
          <w:t xml:space="preserve">legislature.ohio.gov</w:t>
        </w:r>
      </w:hyperlink>
    </w:p>
    <w:p>
      <w:pPr>
        <w:pStyle w:val="Heading2"/>
        <w:keepNext/>
        <w:spacing w:after="120" w:before="260"/>
      </w:pPr>
      <w:r>
        <w:rPr>
          <w:rFonts w:ascii="Calibri" w:cs="Calibri" w:eastAsia="Calibri" w:hAnsi="Calibri"/>
          <w:b/>
          <w:bCs/>
          <w:color w:val="2B2B2B"/>
          <w:sz w:val="28"/>
          <w:szCs w:val="28"/>
        </w:rPr>
        <w:t xml:space="preserve">Ohio case law</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Mitchem v. Johnson</w:t>
      </w:r>
      <w:r>
        <w:rPr>
          <w:rFonts w:ascii="Calibri" w:cs="Calibri" w:eastAsia="Calibri" w:hAnsi="Calibri"/>
          <w:color w:val="2B2B2B"/>
          <w:sz w:val="22"/>
          <w:szCs w:val="22"/>
        </w:rPr>
        <w:t xml:space="preserve">, 7 Ohio St. 2d 66, 218 N.E.2d 574 (1966) — foundational workmanlike-manner duty.  </w:t>
      </w:r>
      <w:hyperlink w:history="1" r:id="rId9evwcn3scv3j11i6khp5f">
        <w:r>
          <w:rPr>
            <w:rFonts w:ascii="Calibri" w:cs="Calibri" w:eastAsia="Calibri" w:hAnsi="Calibri"/>
            <w:color w:val="1F3A68"/>
            <w:sz w:val="22"/>
            <w:szCs w:val="22"/>
            <w:u w:val="single"/>
          </w:rPr>
          <w:t xml:space="preserve">Casemine summary</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Velotta v. Leo Petronzio Landscaping, Inc.</w:t>
      </w:r>
      <w:r>
        <w:rPr>
          <w:rFonts w:ascii="Calibri" w:cs="Calibri" w:eastAsia="Calibri" w:hAnsi="Calibri"/>
          <w:color w:val="2B2B2B"/>
          <w:sz w:val="22"/>
          <w:szCs w:val="22"/>
        </w:rPr>
        <w:t xml:space="preserve">, 69 Ohio St. 2d 376, 433 N.E.2d 147 (1982) — tort framing and four-year limitations for unworkmanlike construction by builder-vendor of completed home.  </w:t>
      </w:r>
      <w:hyperlink w:history="1" r:id="rIdwb5jjeowslhobtqdpu_nn">
        <w:r>
          <w:rPr>
            <w:rFonts w:ascii="Calibri" w:cs="Calibri" w:eastAsia="Calibri" w:hAnsi="Calibri"/>
            <w:color w:val="1F3A68"/>
            <w:sz w:val="22"/>
            <w:szCs w:val="22"/>
            <w:u w:val="single"/>
          </w:rPr>
          <w:t xml:space="preserve">Leagle</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McMillan v. Brune-Harpenau-Torbeck Builders, Inc.</w:t>
      </w:r>
      <w:r>
        <w:rPr>
          <w:rFonts w:ascii="Calibri" w:cs="Calibri" w:eastAsia="Calibri" w:hAnsi="Calibri"/>
          <w:color w:val="2B2B2B"/>
          <w:sz w:val="22"/>
          <w:szCs w:val="22"/>
        </w:rPr>
        <w:t xml:space="preserve">, 8 Ohio St. 3d 3, 455 N.E.2d 1276 (1983) — privity not required for negligence; subsequent purchasers can sue.</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Kishmarton v. William Bailey Construction, Inc.</w:t>
      </w:r>
      <w:r>
        <w:rPr>
          <w:rFonts w:ascii="Calibri" w:cs="Calibri" w:eastAsia="Calibri" w:hAnsi="Calibri"/>
          <w:color w:val="2B2B2B"/>
          <w:sz w:val="22"/>
          <w:szCs w:val="22"/>
        </w:rPr>
        <w:t xml:space="preserve">, 93 Ohio St. 3d 226, 754 N.E.2d 785 (2001) — workmanlike-manner claim is contract-based where the homeowner contracted for future construction.  </w:t>
      </w:r>
      <w:hyperlink w:history="1" r:id="rIdwlqtzqfgmxfybqn8xqppr">
        <w:r>
          <w:rPr>
            <w:rFonts w:ascii="Calibri" w:cs="Calibri" w:eastAsia="Calibri" w:hAnsi="Calibri"/>
            <w:color w:val="1F3A68"/>
            <w:sz w:val="22"/>
            <w:szCs w:val="22"/>
            <w:u w:val="single"/>
          </w:rPr>
          <w:t xml:space="preserve">FindLaw</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Jones v. Centex Homes</w:t>
      </w:r>
      <w:r>
        <w:rPr>
          <w:rFonts w:ascii="Calibri" w:cs="Calibri" w:eastAsia="Calibri" w:hAnsi="Calibri"/>
          <w:color w:val="2B2B2B"/>
          <w:sz w:val="22"/>
          <w:szCs w:val="22"/>
        </w:rPr>
        <w:t xml:space="preserve">, 132 Ohio St. 3d 1, 2012-Ohio-1001 — implied duty cannot be waived by contract.  </w:t>
      </w:r>
      <w:hyperlink w:history="1" r:id="rIdlxawrlve5bzvpf_w1vp4w">
        <w:r>
          <w:rPr>
            <w:rFonts w:ascii="Calibri" w:cs="Calibri" w:eastAsia="Calibri" w:hAnsi="Calibri"/>
            <w:color w:val="1F3A68"/>
            <w:sz w:val="22"/>
            <w:szCs w:val="22"/>
            <w:u w:val="single"/>
          </w:rPr>
          <w:t xml:space="preserve">Justia</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Brown v. Liberty Clubs, Inc.</w:t>
      </w:r>
      <w:r>
        <w:rPr>
          <w:rFonts w:ascii="Calibri" w:cs="Calibri" w:eastAsia="Calibri" w:hAnsi="Calibri"/>
          <w:color w:val="2B2B2B"/>
          <w:sz w:val="22"/>
          <w:szCs w:val="22"/>
        </w:rPr>
        <w:t xml:space="preserve">, 45 Ohio St. 3d 191, 543 N.E.2d 783 (1989) — pure real-estate transaction is not a CSPA consumer transaction.</w:t>
      </w:r>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Garber v. STS Concrete Co., L.L.C.</w:t>
      </w:r>
      <w:r>
        <w:rPr>
          <w:rFonts w:ascii="Calibri" w:cs="Calibri" w:eastAsia="Calibri" w:hAnsi="Calibri"/>
          <w:color w:val="2B2B2B"/>
          <w:sz w:val="22"/>
          <w:szCs w:val="22"/>
        </w:rPr>
        <w:t xml:space="preserve">, 2013-Ohio-2700 (8th Dist.) — CSPA and HSSA liability for contractor; individual liability for officer.  </w:t>
      </w:r>
      <w:hyperlink w:history="1" r:id="rIdbrflax0i2v8crfloyrtg3">
        <w:r>
          <w:rPr>
            <w:rFonts w:ascii="Calibri" w:cs="Calibri" w:eastAsia="Calibri" w:hAnsi="Calibri"/>
            <w:color w:val="1F3A68"/>
            <w:sz w:val="22"/>
            <w:szCs w:val="22"/>
            <w:u w:val="single"/>
          </w:rPr>
          <w:t xml:space="preserve">CourtListener</w:t>
        </w:r>
      </w:hyperlink>
    </w:p>
    <w:p>
      <w:pPr>
        <w:pStyle w:val="ListParagraph"/>
        <w:numPr>
          <w:ilvl w:val="0"/>
          <w:numId w:val="2"/>
        </w:numPr>
        <w:spacing w:after="40" w:before="40" w:line="280"/>
      </w:pPr>
      <w:r>
        <w:rPr>
          <w:rFonts w:ascii="Calibri" w:cs="Calibri" w:eastAsia="Calibri" w:hAnsi="Calibri"/>
          <w:b w:val="false"/>
          <w:bCs w:val="false"/>
          <w:i/>
          <w:iCs/>
          <w:color w:val="2B2B2B"/>
          <w:sz w:val="22"/>
          <w:szCs w:val="22"/>
        </w:rPr>
        <w:t xml:space="preserve">New Riegel Local School District v. Buehrer Group Architecture &amp; Engineering, Inc.</w:t>
      </w:r>
      <w:r>
        <w:rPr>
          <w:rFonts w:ascii="Calibri" w:cs="Calibri" w:eastAsia="Calibri" w:hAnsi="Calibri"/>
          <w:color w:val="2B2B2B"/>
          <w:sz w:val="22"/>
          <w:szCs w:val="22"/>
        </w:rPr>
        <w:t xml:space="preserve">, 157 Ohio St. 3d 164, 2019-Ohio-2851 — statute of repose under § 2305.131 applies to contract claims.</w:t>
      </w:r>
    </w:p>
    <w:p>
      <w:pPr>
        <w:pStyle w:val="Heading2"/>
        <w:keepNext/>
        <w:spacing w:after="120" w:before="260"/>
      </w:pPr>
      <w:r>
        <w:rPr>
          <w:rFonts w:ascii="Calibri" w:cs="Calibri" w:eastAsia="Calibri" w:hAnsi="Calibri"/>
          <w:b/>
          <w:bCs/>
          <w:color w:val="2B2B2B"/>
          <w:sz w:val="28"/>
          <w:szCs w:val="28"/>
        </w:rPr>
        <w:t xml:space="preserve">Agencies and resources</w:t>
      </w:r>
    </w:p>
    <w:p>
      <w:pPr>
        <w:pStyle w:val="ListParagraph"/>
        <w:numPr>
          <w:ilvl w:val="0"/>
          <w:numId w:val="2"/>
        </w:numPr>
        <w:spacing w:after="40" w:before="40" w:line="280"/>
      </w:pPr>
      <w:r>
        <w:rPr>
          <w:rFonts w:ascii="Calibri" w:cs="Calibri" w:eastAsia="Calibri" w:hAnsi="Calibri"/>
          <w:color w:val="2B2B2B"/>
          <w:sz w:val="22"/>
          <w:szCs w:val="22"/>
        </w:rPr>
        <w:t xml:space="preserve">Ohio Attorney General — Consumer Protection: file a complaint.  </w:t>
      </w:r>
      <w:hyperlink w:history="1" r:id="rIdsud9fdigdy-yphssyjvnk">
        <w:r>
          <w:rPr>
            <w:rFonts w:ascii="Calibri" w:cs="Calibri" w:eastAsia="Calibri" w:hAnsi="Calibri"/>
            <w:color w:val="1F3A68"/>
            <w:sz w:val="22"/>
            <w:szCs w:val="22"/>
            <w:u w:val="single"/>
          </w:rPr>
          <w:t xml:space="preserve">ohioattorneygeneral.gov</w:t>
        </w:r>
      </w:hyperlink>
    </w:p>
    <w:p>
      <w:pPr>
        <w:pStyle w:val="ListParagraph"/>
        <w:numPr>
          <w:ilvl w:val="0"/>
          <w:numId w:val="2"/>
        </w:numPr>
        <w:spacing w:after="40" w:before="40" w:line="280"/>
      </w:pPr>
      <w:r>
        <w:rPr>
          <w:rFonts w:ascii="Calibri" w:cs="Calibri" w:eastAsia="Calibri" w:hAnsi="Calibri"/>
          <w:color w:val="2B2B2B"/>
          <w:sz w:val="22"/>
          <w:szCs w:val="22"/>
        </w:rPr>
        <w:t xml:space="preserve">Ohio Department of Commerce — Division of Industrial Compliance: file a complaint.  </w:t>
      </w:r>
      <w:hyperlink w:history="1" r:id="rIdwcjbtg99ujyuywuu7apxj">
        <w:r>
          <w:rPr>
            <w:rFonts w:ascii="Calibri" w:cs="Calibri" w:eastAsia="Calibri" w:hAnsi="Calibri"/>
            <w:color w:val="1F3A68"/>
            <w:sz w:val="22"/>
            <w:szCs w:val="22"/>
            <w:u w:val="single"/>
          </w:rPr>
          <w:t xml:space="preserve">com.ohio.gov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Ohio Construction Industry Licensing Board (OCILB).  </w:t>
      </w:r>
      <w:hyperlink w:history="1" r:id="rIdihetlbyiwira5uinmsqkn">
        <w:r>
          <w:rPr>
            <w:rFonts w:ascii="Calibri" w:cs="Calibri" w:eastAsia="Calibri" w:hAnsi="Calibri"/>
            <w:color w:val="1F3A68"/>
            <w:sz w:val="22"/>
            <w:szCs w:val="22"/>
            <w:u w:val="single"/>
          </w:rPr>
          <w:t xml:space="preserve">com.ohio.gov OCILB</w:t>
        </w:r>
      </w:hyperlink>
    </w:p>
    <w:p>
      <w:pPr>
        <w:pStyle w:val="ListParagraph"/>
        <w:numPr>
          <w:ilvl w:val="0"/>
          <w:numId w:val="2"/>
        </w:numPr>
        <w:spacing w:after="40" w:before="40" w:line="280"/>
      </w:pPr>
      <w:r>
        <w:rPr>
          <w:rFonts w:ascii="Calibri" w:cs="Calibri" w:eastAsia="Calibri" w:hAnsi="Calibri"/>
          <w:color w:val="2B2B2B"/>
          <w:sz w:val="22"/>
          <w:szCs w:val="22"/>
        </w:rPr>
        <w:t xml:space="preserve">Ohio eLicense Center (license lookup).  </w:t>
      </w:r>
      <w:hyperlink w:history="1" r:id="rIdfhr1ysl4m0ubcguygqs4j">
        <w:r>
          <w:rPr>
            <w:rFonts w:ascii="Calibri" w:cs="Calibri" w:eastAsia="Calibri" w:hAnsi="Calibri"/>
            <w:color w:val="1F3A68"/>
            <w:sz w:val="22"/>
            <w:szCs w:val="22"/>
            <w:u w:val="single"/>
          </w:rPr>
          <w:t xml:space="preserve">elicense4.com.ohio.gov</w:t>
        </w:r>
      </w:hyperlink>
    </w:p>
    <w:p>
      <w:pPr>
        <w:pStyle w:val="ListParagraph"/>
        <w:numPr>
          <w:ilvl w:val="0"/>
          <w:numId w:val="2"/>
        </w:numPr>
        <w:spacing w:after="40" w:before="40" w:line="280"/>
      </w:pPr>
      <w:r>
        <w:rPr>
          <w:rFonts w:ascii="Calibri" w:cs="Calibri" w:eastAsia="Calibri" w:hAnsi="Calibri"/>
          <w:color w:val="2B2B2B"/>
          <w:sz w:val="22"/>
          <w:szCs w:val="22"/>
        </w:rPr>
        <w:t xml:space="preserve">Ohio Home Builders Association.  </w:t>
      </w:r>
      <w:hyperlink w:history="1" r:id="rIdjhpvloqv4jwqxva4djnw6">
        <w:r>
          <w:rPr>
            <w:rFonts w:ascii="Calibri" w:cs="Calibri" w:eastAsia="Calibri" w:hAnsi="Calibri"/>
            <w:color w:val="1F3A68"/>
            <w:sz w:val="22"/>
            <w:szCs w:val="22"/>
            <w:u w:val="single"/>
          </w:rPr>
          <w:t xml:space="preserve">ohiohba.com</w:t>
        </w:r>
      </w:hyperlink>
    </w:p>
    <w:p>
      <w:pPr>
        <w:pStyle w:val="ListParagraph"/>
        <w:numPr>
          <w:ilvl w:val="0"/>
          <w:numId w:val="2"/>
        </w:numPr>
        <w:spacing w:after="40" w:before="40" w:line="280"/>
      </w:pPr>
      <w:r>
        <w:rPr>
          <w:rFonts w:ascii="Calibri" w:cs="Calibri" w:eastAsia="Calibri" w:hAnsi="Calibri"/>
          <w:color w:val="2B2B2B"/>
          <w:sz w:val="22"/>
          <w:szCs w:val="22"/>
        </w:rPr>
        <w:t xml:space="preserve">Better Business Bureau.  </w:t>
      </w:r>
      <w:hyperlink w:history="1" r:id="rIdsezyqciaeb4vvst2y_043">
        <w:r>
          <w:rPr>
            <w:rFonts w:ascii="Calibri" w:cs="Calibri" w:eastAsia="Calibri" w:hAnsi="Calibri"/>
            <w:color w:val="1F3A68"/>
            <w:sz w:val="22"/>
            <w:szCs w:val="22"/>
            <w:u w:val="single"/>
          </w:rPr>
          <w:t xml:space="preserve">bbb.org</w:t>
        </w:r>
      </w:hyperlink>
    </w:p>
    <w:p>
      <w:pPr>
        <w:pStyle w:val="Heading1"/>
        <w:keepNext/>
        <w:pBdr>
          <w:bottom w:val="single" w:color="8C8C8C" w:sz="12" w:space="4"/>
        </w:pBdr>
        <w:spacing w:after="180" w:before="360"/>
      </w:pPr>
      <w:r>
        <w:rPr>
          <w:rFonts w:ascii="Calibri" w:cs="Calibri" w:eastAsia="Calibri" w:hAnsi="Calibri"/>
          <w:b/>
          <w:bCs/>
          <w:color w:val="2B2B2B"/>
          <w:sz w:val="36"/>
          <w:szCs w:val="36"/>
        </w:rPr>
        <w:t xml:space="preserve">14. Disclaimer</w:t>
      </w:r>
    </w:p>
    <w:p>
      <w:pPr>
        <w:spacing w:after="80" w:before="80" w:line="300"/>
        <w:jc w:val="left"/>
      </w:pPr>
      <w:r>
        <w:rPr>
          <w:rFonts w:ascii="Calibri" w:cs="Calibri" w:eastAsia="Calibri" w:hAnsi="Calibri"/>
          <w:b w:val="false"/>
          <w:bCs w:val="false"/>
          <w:i w:val="false"/>
          <w:iCs w:val="false"/>
          <w:color w:val="2B2B2B"/>
          <w:sz w:val="22"/>
          <w:szCs w:val="22"/>
        </w:rPr>
        <w:t xml:space="preserve">This document is general reference material. It is not legal advice. Reading this document does not create an attorney–client relationship. Statutes, case law, agency procedures, and dollar caps change over time. Before relying on any citation or procedure described here, the reader should verify it against current Ohio authority and consult a licensed Ohio attorney about the specific facts at issue. The 2021 limitations reductions, the 2024 HCSSA amendments under House Bill 50, and any local building-code or licensing requirements are particularly worth re-checking before any client filing.</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55555"/>
        <w:sz w:val="18"/>
        <w:szCs w:val="18"/>
      </w:rPr>
      <w:t xml:space="preserve">Page </w:t>
    </w:r>
    <w:r>
      <w:rPr>
        <w:rFonts w:ascii="Calibri" w:cs="Calibri" w:eastAsia="Calibri" w:hAnsi="Calibri"/>
        <w:color w:val="555555"/>
        <w:sz w:val="18"/>
        <w:szCs w:val="18"/>
      </w:rPr>
      <w:fldChar w:fldCharType="begin"/>
      <w:instrText xml:space="preserve">PAGE</w:instrText>
      <w:fldChar w:fldCharType="separate"/>
      <w:fldChar w:fldCharType="end"/>
    </w:r>
    <w:r>
      <w:rPr>
        <w:rFonts w:ascii="Calibri" w:cs="Calibri" w:eastAsia="Calibri" w:hAnsi="Calibri"/>
        <w:color w:val="555555"/>
        <w:sz w:val="18"/>
        <w:szCs w:val="18"/>
      </w:rPr>
      <w:t xml:space="preserve"> — General reference, not legal advice.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i/>
        <w:iCs/>
        <w:color w:val="555555"/>
        <w:sz w:val="18"/>
        <w:szCs w:val="18"/>
      </w:rPr>
      <w:t xml:space="preserve">Ohio New Home Construction Warranty Reference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B2B2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Calibri" w:cs="Calibri" w:eastAsia="Calibri" w:hAnsi="Calibri"/>
      <w:b/>
      <w:bCs/>
      <w:color w:val="2B2B2B"/>
      <w:sz w:val="36"/>
      <w:szCs w:val="36"/>
    </w:rPr>
  </w:style>
  <w:style w:type="paragraph" w:styleId="Heading2">
    <w:name w:val="Heading 2"/>
    <w:basedOn w:val="Normal"/>
    <w:next w:val="Normal"/>
    <w:qFormat/>
    <w:pPr>
      <w:spacing w:after="120" w:before="260"/>
      <w:outlineLvl w:val="1"/>
    </w:pPr>
    <w:rPr>
      <w:rFonts w:ascii="Calibri" w:cs="Calibri" w:eastAsia="Calibri" w:hAnsi="Calibri"/>
      <w:b/>
      <w:bCs/>
      <w:color w:val="2B2B2B"/>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p6_qwpg5-p57b5hg0e-oi" Type="http://schemas.openxmlformats.org/officeDocument/2006/relationships/hyperlink" Target="https://www.ohioattorneygeneral.gov/Individuals-and-Families/Consumers/File-A-Complaint" TargetMode="External"/><Relationship Id="rId7fl5o22ksodfp4nwcxfhs" Type="http://schemas.openxmlformats.org/officeDocument/2006/relationships/hyperlink" Target="https://com.ohio.gov/divisions-and-programs/industrial-compliance/file-a-complaint-industrial" TargetMode="External"/><Relationship Id="rIdgrjkc5zfv721kk6gcn6hv" Type="http://schemas.openxmlformats.org/officeDocument/2006/relationships/hyperlink" Target="https://com.ohio.gov/divisions-and-programs/industrial-compliance/boards/ohio-construction-industry-licensing-board" TargetMode="External"/><Relationship Id="rIdbnnsgzqkuamotoo1vasu9" Type="http://schemas.openxmlformats.org/officeDocument/2006/relationships/hyperlink" Target="https://elicense4.com.ohio.gov/" TargetMode="External"/><Relationship Id="rIdp6ukqdwxj52f7xtogvlbi" Type="http://schemas.openxmlformats.org/officeDocument/2006/relationships/hyperlink" Target="https://ohiohba.com/" TargetMode="External"/><Relationship Id="rIdy7irlckpma5r4wqpniigw" Type="http://schemas.openxmlformats.org/officeDocument/2006/relationships/hyperlink" Target="https://www.bbb.org/" TargetMode="External"/><Relationship Id="rIdoiatd8tbirryoete51svf" Type="http://schemas.openxmlformats.org/officeDocument/2006/relationships/hyperlink" Target="https://codes.ohio.gov/ohio-revised-code/chapter-1312" TargetMode="External"/><Relationship Id="rIdt-0odmeza7utodu7uabl8" Type="http://schemas.openxmlformats.org/officeDocument/2006/relationships/hyperlink" Target="https://codes.ohio.gov/ohio-revised-code/section-1312.04" TargetMode="External"/><Relationship Id="rIdt1jslg9ztw7xsqbm0qunz" Type="http://schemas.openxmlformats.org/officeDocument/2006/relationships/hyperlink" Target="https://codes.ohio.gov/ohio-revised-code/section-1312.05" TargetMode="External"/><Relationship Id="rIdtzm93yqxdjzcsgs9o0rmo" Type="http://schemas.openxmlformats.org/officeDocument/2006/relationships/hyperlink" Target="https://codes.ohio.gov/ohio-revised-code/section-1312.08" TargetMode="External"/><Relationship Id="rId8hrqertatdmt7gvbj9nok" Type="http://schemas.openxmlformats.org/officeDocument/2006/relationships/hyperlink" Target="https://codes.ohio.gov/ohio-revised-code/chapter-4722" TargetMode="External"/><Relationship Id="rIdxz3zt7cgazgaevpmcog3n" Type="http://schemas.openxmlformats.org/officeDocument/2006/relationships/hyperlink" Target="https://codes.ohio.gov/ohio-revised-code/section-4722.02" TargetMode="External"/><Relationship Id="rIday6ouqdcvczq_kwn17lf6" Type="http://schemas.openxmlformats.org/officeDocument/2006/relationships/hyperlink" Target="https://codes.ohio.gov/ohio-revised-code/section-1345.09" TargetMode="External"/><Relationship Id="rIdzk-g3knqvhlnrnffxdqqp" Type="http://schemas.openxmlformats.org/officeDocument/2006/relationships/hyperlink" Target="https://codes.ohio.gov/ohio-revised-code/section-1345.10" TargetMode="External"/><Relationship Id="rIdxd2xb1_glr6bklv6wcdlf" Type="http://schemas.openxmlformats.org/officeDocument/2006/relationships/hyperlink" Target="https://codes.ohio.gov/ohio-revised-code/section-2305.06" TargetMode="External"/><Relationship Id="rIdvpy0e1yqjl67m4tmuille" Type="http://schemas.openxmlformats.org/officeDocument/2006/relationships/hyperlink" Target="https://codes.ohio.gov/ohio-revised-code/section-2305.07" TargetMode="External"/><Relationship Id="rIdfv_ydkb_j_z48iz2tawen" Type="http://schemas.openxmlformats.org/officeDocument/2006/relationships/hyperlink" Target="https://codes.ohio.gov/ohio-revised-code/section-2305.09" TargetMode="External"/><Relationship Id="rId3qxkl3qdttru9uu0kid7l" Type="http://schemas.openxmlformats.org/officeDocument/2006/relationships/hyperlink" Target="https://codes.ohio.gov/ohio-revised-code/section-2305.131" TargetMode="External"/><Relationship Id="rIdh6w3o_w9ao1hkzqzs0jkb" Type="http://schemas.openxmlformats.org/officeDocument/2006/relationships/hyperlink" Target="https://codes.ohio.gov/ohio-revised-code/section-2315.21" TargetMode="External"/><Relationship Id="rIdyylhtnn2q0qlc0vo3ehxy" Type="http://schemas.openxmlformats.org/officeDocument/2006/relationships/hyperlink" Target="https://codes.ohio.gov/ohio-revised-code/section-1925.02" TargetMode="External"/><Relationship Id="rIdbkop6qnnreyokzyh-tzq0" Type="http://schemas.openxmlformats.org/officeDocument/2006/relationships/hyperlink" Target="https://codes.ohio.gov/ohio-revised-code/section-1901.17" TargetMode="External"/><Relationship Id="rIdslb4x8bgfedm86957chwp" Type="http://schemas.openxmlformats.org/officeDocument/2006/relationships/hyperlink" Target="https://www.legislature.ohio.gov/legislation/135/hb50" TargetMode="External"/><Relationship Id="rId9evwcn3scv3j11i6khp5f" Type="http://schemas.openxmlformats.org/officeDocument/2006/relationships/hyperlink" Target="https://www.casemine.com/judgement/us/5914c867add7b049347ea063" TargetMode="External"/><Relationship Id="rIdwb5jjeowslhobtqdpu_nn" Type="http://schemas.openxmlformats.org/officeDocument/2006/relationships/hyperlink" Target="https://www.leagle.com/decision/198244569ohiost2d3761383" TargetMode="External"/><Relationship Id="rIdwlqtzqfgmxfybqn8xqppr" Type="http://schemas.openxmlformats.org/officeDocument/2006/relationships/hyperlink" Target="https://caselaw.findlaw.com/oh-supreme-court/1467933.html" TargetMode="External"/><Relationship Id="rIdlxawrlve5bzvpf_w1vp4w" Type="http://schemas.openxmlformats.org/officeDocument/2006/relationships/hyperlink" Target="https://law.justia.com/cases/ohio/supreme-court-of-ohio/2012/2010-1826.html" TargetMode="External"/><Relationship Id="rIdbrflax0i2v8crfloyrtg3" Type="http://schemas.openxmlformats.org/officeDocument/2006/relationships/hyperlink" Target="https://www.courtlistener.com/opinion/2702509/garber-v-sts-concrete-co-llc/" TargetMode="External"/><Relationship Id="rIdsud9fdigdy-yphssyjvnk" Type="http://schemas.openxmlformats.org/officeDocument/2006/relationships/hyperlink" Target="https://www.ohioattorneygeneral.gov/Individuals-and-Families/Consumers/File-A-Complaint" TargetMode="External"/><Relationship Id="rIdwcjbtg99ujyuywuu7apxj" Type="http://schemas.openxmlformats.org/officeDocument/2006/relationships/hyperlink" Target="https://com.ohio.gov/divisions-and-programs/industrial-compliance/file-a-complaint-industrial" TargetMode="External"/><Relationship Id="rIdihetlbyiwira5uinmsqkn" Type="http://schemas.openxmlformats.org/officeDocument/2006/relationships/hyperlink" Target="https://com.ohio.gov/divisions-and-programs/industrial-compliance/boards/ohio-construction-industry-licensing-board" TargetMode="External"/><Relationship Id="rIdfhr1ysl4m0ubcguygqs4j" Type="http://schemas.openxmlformats.org/officeDocument/2006/relationships/hyperlink" Target="https://elicense4.com.ohio.gov/" TargetMode="External"/><Relationship Id="rIdjhpvloqv4jwqxva4djnw6" Type="http://schemas.openxmlformats.org/officeDocument/2006/relationships/hyperlink" Target="https://ohiohba.com/" TargetMode="External"/><Relationship Id="rIdsezyqciaeb4vvst2y_043" Type="http://schemas.openxmlformats.org/officeDocument/2006/relationships/hyperlink" Target="https://www.bbb.org/" TargetMode="External"/><Relationship Id="rId4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New Home Construction Warranty Reference</dc:title>
  <dc:creator>New Build Warranty Reference</dc:creator>
  <cp:lastModifiedBy>Un-named</cp:lastModifiedBy>
  <cp:revision>1</cp:revision>
  <dcterms:created xsi:type="dcterms:W3CDTF">2026-05-21T21:05:06.794Z</dcterms:created>
  <dcterms:modified xsi:type="dcterms:W3CDTF">2026-05-21T21:05:06.795Z</dcterms:modified>
</cp:coreProperties>
</file>

<file path=docProps/custom.xml><?xml version="1.0" encoding="utf-8"?>
<Properties xmlns="http://schemas.openxmlformats.org/officeDocument/2006/custom-properties" xmlns:vt="http://schemas.openxmlformats.org/officeDocument/2006/docPropsVTypes"/>
</file>