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center"/>
      </w:pPr>
      <w:r>
        <w:rPr>
          <w:rFonts w:ascii="Calibri" w:cs="Calibri" w:eastAsia="Calibri" w:hAnsi="Calibri"/>
          <w:b/>
          <w:bCs/>
          <w:color w:val="2B2B2B"/>
          <w:sz w:val="60"/>
          <w:szCs w:val="60"/>
        </w:rPr>
        <w:t xml:space="preserve">OKLAHOMA</w:t>
      </w:r>
    </w:p>
    <w:p>
      <w:pPr>
        <w:spacing w:after="120"/>
        <w:jc w:val="center"/>
      </w:pPr>
      <w:r>
        <w:rPr>
          <w:rFonts w:ascii="Calibri" w:cs="Calibri" w:eastAsia="Calibri" w:hAnsi="Calibri"/>
          <w:b/>
          <w:bCs/>
          <w:color w:val="2B2B2B"/>
          <w:sz w:val="36"/>
          <w:szCs w:val="36"/>
        </w:rPr>
        <w:t xml:space="preserve">New Home Construction Warranty Reference</w:t>
      </w:r>
    </w:p>
    <w:p>
      <w:pPr>
        <w:spacing w:after="720"/>
        <w:jc w:val="center"/>
      </w:pPr>
      <w:r>
        <w:rPr>
          <w:rFonts w:ascii="Calibri" w:cs="Calibri" w:eastAsia="Calibri" w:hAnsi="Calibri"/>
          <w:i/>
          <w:iCs/>
          <w:color w:val="555555"/>
          <w:sz w:val="24"/>
          <w:szCs w:val="24"/>
        </w:rPr>
        <w:t xml:space="preserve">Jeanguneat's Implied Warranty, the OCPA, Contract-Triggered Right-to-Repair, and the 10-Year Repose</w:t>
      </w:r>
    </w:p>
    <w:p>
      <w:pPr>
        <w:spacing w:after="80"/>
        <w:jc w:val="center"/>
      </w:pPr>
      <w:r>
        <w:rPr>
          <w:rFonts w:ascii="Calibri" w:cs="Calibri" w:eastAsia="Calibri" w:hAnsi="Calibri"/>
          <w:color w:val="555555"/>
          <w:sz w:val="22"/>
          <w:szCs w:val="22"/>
        </w:rPr>
        <w:t xml:space="preserve">A general reference for homeowners, real-estate professionals, and counsel</w:t>
      </w:r>
    </w:p>
    <w:p>
      <w:pPr>
        <w:spacing w:after="1200"/>
        <w:jc w:val="center"/>
      </w:pPr>
      <w:r>
        <w:rPr>
          <w:rFonts w:ascii="Calibri" w:cs="Calibri" w:eastAsia="Calibri" w:hAnsi="Calibri"/>
          <w:i/>
          <w:iCs/>
          <w:color w:val="555555"/>
          <w:sz w:val="20"/>
          <w:szCs w:val="20"/>
        </w:rPr>
        <w:t xml:space="preserve">Not legal advice — verify all citations with a licensed Oklahoma attorney before relying on them.</w:t>
      </w:r>
    </w:p>
    <w:p>
      <w:pPr>
        <w:spacing w:after="80"/>
        <w:jc w:val="center"/>
      </w:pPr>
      <w:r>
        <w:rPr>
          <w:rFonts w:ascii="Calibri" w:cs="Calibri" w:eastAsia="Calibri" w:hAnsi="Calibri"/>
          <w:color w:val="555555"/>
          <w:sz w:val="20"/>
          <w:szCs w:val="20"/>
        </w:rPr>
        <w:t xml:space="preserve">Edition: May 2026</w:t>
      </w:r>
    </w:p>
    <w:p>
      <w:r>
        <w:br w:type="page"/>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 Overview of Oklahoma's Framework</w:t>
      </w:r>
    </w:p>
    <w:p>
      <w:pPr>
        <w:spacing w:after="120" w:before="80" w:line="300"/>
        <w:jc w:val="left"/>
      </w:pPr>
      <w:r>
        <w:rPr>
          <w:rFonts w:ascii="Calibri" w:cs="Calibri" w:eastAsia="Calibri" w:hAnsi="Calibri"/>
          <w:b w:val="false"/>
          <w:bCs w:val="false"/>
          <w:i w:val="false"/>
          <w:iCs w:val="false"/>
          <w:color w:val="2B2B2B"/>
          <w:sz w:val="22"/>
          <w:szCs w:val="22"/>
        </w:rPr>
        <w:t xml:space="preserve">Oklahoma protects new-home buyers primarily through judge-made law rather than statute. There is no state-administered new-home warranty scheme, no statewide residential general contractor license, no state contractor recovery fund, and no mandatory pre-suit notice-and-cure procedure for construction defects. The homeowner's protections sit on five layers — most are common-law or contractual, and one cuts off liability sharply at ten years.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The implied warranty of habitability and skillful construction </w:t>
      </w:r>
      <w:r>
        <w:rPr>
          <w:rFonts w:ascii="Calibri" w:cs="Calibri" w:eastAsia="Calibri" w:hAnsi="Calibri"/>
          <w:color w:val="2B2B2B"/>
          <w:sz w:val="22"/>
          <w:szCs w:val="22"/>
        </w:rPr>
        <w:t xml:space="preserve">— a common-law warranty recognized in </w:t>
      </w:r>
      <w:r>
        <w:rPr>
          <w:rFonts w:ascii="Calibri" w:cs="Calibri" w:eastAsia="Calibri" w:hAnsi="Calibri"/>
          <w:b w:val="false"/>
          <w:bCs w:val="false"/>
          <w:i/>
          <w:iCs/>
          <w:color w:val="2B2B2B"/>
          <w:sz w:val="22"/>
          <w:szCs w:val="22"/>
        </w:rPr>
        <w:t xml:space="preserve">Jeanguneat v. Jackie Hames Construction Co.</w:t>
      </w:r>
      <w:r>
        <w:rPr>
          <w:rFonts w:ascii="Calibri" w:cs="Calibri" w:eastAsia="Calibri" w:hAnsi="Calibri"/>
          <w:color w:val="2B2B2B"/>
          <w:sz w:val="22"/>
          <w:szCs w:val="22"/>
        </w:rPr>
        <w:t xml:space="preserve">, 1978 OK 17, 576 P.2d 761 (Okla. 1978), running from the builder-vendor to the original purchaser of a new home. Covers latent defects, workmanship, and basic fitness for habitation.</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The Oklahoma Consumer Protection Act (OCPA) — 15 O.S. § 751 et seq. </w:t>
      </w:r>
      <w:r>
        <w:rPr>
          <w:rFonts w:ascii="Calibri" w:cs="Calibri" w:eastAsia="Calibri" w:hAnsi="Calibri"/>
          <w:color w:val="2B2B2B"/>
          <w:sz w:val="22"/>
          <w:szCs w:val="22"/>
        </w:rPr>
        <w:t xml:space="preserve">— a broad deceptive-trade-practices statute that reaches residential sales transactions. </w:t>
      </w:r>
      <w:r>
        <w:rPr>
          <w:rFonts w:ascii="Calibri" w:cs="Calibri" w:eastAsia="Calibri" w:hAnsi="Calibri"/>
          <w:b w:val="false"/>
          <w:bCs w:val="false"/>
          <w:i/>
          <w:iCs/>
          <w:color w:val="2B2B2B"/>
          <w:sz w:val="22"/>
          <w:szCs w:val="22"/>
        </w:rPr>
        <w:t xml:space="preserve">Patterson v. Beall</w:t>
      </w:r>
      <w:r>
        <w:rPr>
          <w:rFonts w:ascii="Calibri" w:cs="Calibri" w:eastAsia="Calibri" w:hAnsi="Calibri"/>
          <w:color w:val="2B2B2B"/>
          <w:sz w:val="22"/>
          <w:szCs w:val="22"/>
        </w:rPr>
        <w:t xml:space="preserve">, 2000 OK 92, 19 P.3d 839, confirms the OCPA is remedial and liberally construed. Prevailing consumers recover actual damages plus reasonable attorney's fees under § 761.1.</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Contract-triggered right-to-repair under 15 O.S. § 765.6 </w:t>
      </w:r>
      <w:r>
        <w:rPr>
          <w:rFonts w:ascii="Calibri" w:cs="Calibri" w:eastAsia="Calibri" w:hAnsi="Calibri"/>
          <w:color w:val="2B2B2B"/>
          <w:sz w:val="22"/>
          <w:szCs w:val="22"/>
        </w:rPr>
        <w:t xml:space="preserve">— pre-suit notice, inspection, and a 30-day window to respond apply </w:t>
      </w:r>
      <w:r>
        <w:rPr>
          <w:rFonts w:ascii="Calibri" w:cs="Calibri" w:eastAsia="Calibri" w:hAnsi="Calibri"/>
          <w:b w:val="false"/>
          <w:bCs w:val="false"/>
          <w:i/>
          <w:iCs/>
          <w:color w:val="2B2B2B"/>
          <w:sz w:val="22"/>
          <w:szCs w:val="22"/>
        </w:rPr>
        <w:t xml:space="preserve">only if</w:t>
      </w:r>
      <w:r>
        <w:rPr>
          <w:rFonts w:ascii="Calibri" w:cs="Calibri" w:eastAsia="Calibri" w:hAnsi="Calibri"/>
          <w:color w:val="2B2B2B"/>
          <w:sz w:val="22"/>
          <w:szCs w:val="22"/>
        </w:rPr>
        <w:t xml:space="preserve"> the residential construction contract contains a notice-and-cure clause. Almost all builder contracts do; the homeowner must check the agreement before sending demand letters or filing suit.</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Ordinary contract and tort claims </w:t>
      </w:r>
      <w:r>
        <w:rPr>
          <w:rFonts w:ascii="Calibri" w:cs="Calibri" w:eastAsia="Calibri" w:hAnsi="Calibri"/>
          <w:color w:val="2B2B2B"/>
          <w:sz w:val="22"/>
          <w:szCs w:val="22"/>
        </w:rPr>
        <w:t xml:space="preserve">— breach of written contract under 12 O.S. § 95(A)(1) (5 years), breach of oral contract or liability created by statute under § 95(A)(2) (3 years), and negligence / property damage under § 95(A)(3) (2 years).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The 10-year statute of repose — 12 O.S. § 109 </w:t>
      </w:r>
      <w:r>
        <w:rPr>
          <w:rFonts w:ascii="Calibri" w:cs="Calibri" w:eastAsia="Calibri" w:hAnsi="Calibri"/>
          <w:color w:val="2B2B2B"/>
          <w:sz w:val="22"/>
          <w:szCs w:val="22"/>
        </w:rPr>
        <w:t xml:space="preserve">— an absolute outer bar on actions arising out of defective improvements to real property, measured from substantial completion. The repose runs even on undiscovered defects.</w:t>
      </w:r>
    </w:p>
    <w:p>
      <w:pPr>
        <w:spacing w:after="80" w:before="160" w:line="300"/>
        <w:jc w:val="left"/>
      </w:pPr>
      <w:r>
        <w:rPr>
          <w:rFonts w:ascii="Calibri" w:cs="Calibri" w:eastAsia="Calibri" w:hAnsi="Calibri"/>
          <w:b w:val="false"/>
          <w:bCs w:val="false"/>
          <w:i w:val="false"/>
          <w:iCs w:val="false"/>
          <w:color w:val="2B2B2B"/>
          <w:sz w:val="22"/>
          <w:szCs w:val="22"/>
        </w:rPr>
        <w:t xml:space="preserve">Three background features dominate any Oklahoma new-home defect analysis:</w:t>
      </w:r>
    </w:p>
    <w:p>
      <w:pPr>
        <w:pStyle w:val="ListParagraph"/>
        <w:numPr>
          <w:ilvl w:val="0"/>
          <w:numId w:val="3"/>
        </w:numPr>
        <w:spacing w:after="60" w:before="60" w:line="280"/>
      </w:pPr>
      <w:r>
        <w:rPr>
          <w:rFonts w:ascii="Calibri" w:cs="Calibri" w:eastAsia="Calibri" w:hAnsi="Calibri"/>
          <w:color w:val="2B2B2B"/>
          <w:sz w:val="22"/>
          <w:szCs w:val="22"/>
        </w:rPr>
        <w:t xml:space="preserve">There is no statewide residential homebuilder license. The Construction Industries Board (CIB) licenses only specialty trades — plumbing, mechanical/HVAC, electrical, home inspectors — and roofing contractors register under the Oklahoma Roofing Contractor Registration Act. General homebuilders are not state-regulated, and there is no state recovery fund to compensate homeowners harmed by a defaulting builder.</w:t>
      </w:r>
    </w:p>
    <w:p>
      <w:pPr>
        <w:pStyle w:val="ListParagraph"/>
        <w:numPr>
          <w:ilvl w:val="0"/>
          <w:numId w:val="3"/>
        </w:numPr>
        <w:spacing w:after="60" w:before="60" w:line="280"/>
      </w:pPr>
      <w:r>
        <w:rPr>
          <w:rFonts w:ascii="Calibri" w:cs="Calibri" w:eastAsia="Calibri" w:hAnsi="Calibri"/>
          <w:color w:val="2B2B2B"/>
          <w:sz w:val="22"/>
          <w:szCs w:val="22"/>
        </w:rPr>
        <w:t xml:space="preserve">The Home Repair Fraud Act, 15 O.S. § 765.1 et seq., does not apply to original construction. Under § 765.2 the Act expressly excludes "original construction of any single-family or multi-family residential building or structure." It reaches repair, remodeling, additions, and improvements only. Homeowners working with brand-new construction must rely on the OCPA, implied warranty, and contract law — not the Home Repair Fraud Act.</w:t>
      </w:r>
    </w:p>
    <w:p>
      <w:pPr>
        <w:pStyle w:val="ListParagraph"/>
        <w:numPr>
          <w:ilvl w:val="0"/>
          <w:numId w:val="3"/>
        </w:numPr>
        <w:spacing w:after="60" w:before="60" w:line="280"/>
      </w:pPr>
      <w:r>
        <w:rPr>
          <w:rFonts w:ascii="Calibri" w:cs="Calibri" w:eastAsia="Calibri" w:hAnsi="Calibri"/>
          <w:color w:val="2B2B2B"/>
          <w:sz w:val="22"/>
          <w:szCs w:val="22"/>
        </w:rPr>
        <w:t xml:space="preserve">Oklahoma applies a discovery rule to latent construction defects. The clock on most contract, implied-warranty, and tort theories begins when the homeowner, in the exercise of reasonable diligence, discovers or should have discovered the defect. The 10-year repose under 12 O.S. § 109 is the absolute outer ceiling — it does not bend for late-discovered defects.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2. The Implied Warranty of Habitability and Skillful Construction</w:t>
      </w:r>
    </w:p>
    <w:p>
      <w:pPr>
        <w:pStyle w:val="Heading2"/>
        <w:keepNext/>
        <w:spacing w:after="120" w:before="260"/>
      </w:pPr>
      <w:r>
        <w:rPr>
          <w:rFonts w:ascii="Calibri" w:cs="Calibri" w:eastAsia="Calibri" w:hAnsi="Calibri"/>
          <w:b/>
          <w:bCs/>
          <w:color w:val="2B2B2B"/>
          <w:sz w:val="28"/>
          <w:szCs w:val="28"/>
        </w:rPr>
        <w:t xml:space="preserve">Foundational case law</w:t>
      </w:r>
    </w:p>
    <w:p>
      <w:pPr>
        <w:spacing w:after="80" w:before="80" w:line="300"/>
        <w:jc w:val="left"/>
      </w:pPr>
      <w:r>
        <w:rPr>
          <w:rFonts w:ascii="Calibri" w:cs="Calibri" w:eastAsia="Calibri" w:hAnsi="Calibri"/>
          <w:b w:val="false"/>
          <w:bCs w:val="false"/>
          <w:i/>
          <w:iCs/>
          <w:color w:val="2B2B2B"/>
          <w:sz w:val="22"/>
          <w:szCs w:val="22"/>
        </w:rPr>
        <w:t xml:space="preserve">Jeanguneat v. Jackie Hames Construction Co.</w:t>
      </w:r>
      <w:r>
        <w:rPr>
          <w:rFonts w:ascii="Calibri" w:cs="Calibri" w:eastAsia="Calibri" w:hAnsi="Calibri"/>
          <w:color w:val="2B2B2B"/>
          <w:sz w:val="22"/>
          <w:szCs w:val="22"/>
        </w:rPr>
        <w:t xml:space="preserve">, 1978 OK 17, 576 P.2d 761 (Okla. 1978), is the foundational decision. The Jeanguneats bought a newly built home from the builder-vendor; the well water proved so turbid it was unfit for human consumption. The Oklahoma Supreme Court abandoned strict caveat emptor for new-home sales and adopted, following Missouri's </w:t>
      </w:r>
      <w:r>
        <w:rPr>
          <w:rFonts w:ascii="Calibri" w:cs="Calibri" w:eastAsia="Calibri" w:hAnsi="Calibri"/>
          <w:b w:val="false"/>
          <w:bCs w:val="false"/>
          <w:i/>
          <w:iCs/>
          <w:color w:val="2B2B2B"/>
          <w:sz w:val="22"/>
          <w:szCs w:val="22"/>
        </w:rPr>
        <w:t xml:space="preserve">Smith v. Old Warson Development Co.</w:t>
      </w:r>
      <w:r>
        <w:rPr>
          <w:rFonts w:ascii="Calibri" w:cs="Calibri" w:eastAsia="Calibri" w:hAnsi="Calibri"/>
          <w:color w:val="2B2B2B"/>
          <w:sz w:val="22"/>
          <w:szCs w:val="22"/>
        </w:rPr>
        <w:t xml:space="preserve">, 479 S.W.2d 795 (Mo. 1972), an implied warranty of habitability and skillful construction running from the builder-vendor to the first purchaser. The Court held that "major defects which render the house unfit for habitation, and which are not readily remediable, entitle the buyer to rescission and restitution."</w:t>
      </w:r>
    </w:p>
    <w:p>
      <w:pPr>
        <w:spacing w:after="80" w:before="80" w:line="300"/>
        <w:jc w:val="left"/>
      </w:pPr>
      <w:r>
        <w:rPr>
          <w:rFonts w:ascii="Calibri" w:cs="Calibri" w:eastAsia="Calibri" w:hAnsi="Calibri"/>
          <w:b w:val="false"/>
          <w:bCs w:val="false"/>
          <w:i/>
          <w:iCs/>
          <w:color w:val="2B2B2B"/>
          <w:sz w:val="22"/>
          <w:szCs w:val="22"/>
        </w:rPr>
        <w:t xml:space="preserve">Bridges v. Ferrell</w:t>
      </w:r>
      <w:r>
        <w:rPr>
          <w:rFonts w:ascii="Calibri" w:cs="Calibri" w:eastAsia="Calibri" w:hAnsi="Calibri"/>
          <w:color w:val="2B2B2B"/>
          <w:sz w:val="22"/>
          <w:szCs w:val="22"/>
        </w:rPr>
        <w:t xml:space="preserve">, 1984 OK CIV APP 41, 685 P.2d 409 (Okla. Civ. App. 1984), is the key follow-on decision. The Oklahoma Court of Civil Appeals extended the implied warranty of habitability to </w:t>
      </w:r>
      <w:r>
        <w:rPr>
          <w:rFonts w:ascii="Calibri" w:cs="Calibri" w:eastAsia="Calibri" w:hAnsi="Calibri"/>
          <w:b w:val="false"/>
          <w:bCs w:val="false"/>
          <w:i/>
          <w:iCs/>
          <w:color w:val="2B2B2B"/>
          <w:sz w:val="22"/>
          <w:szCs w:val="22"/>
        </w:rPr>
        <w:t xml:space="preserve">subsequent purchasers</w:t>
      </w:r>
      <w:r>
        <w:rPr>
          <w:rFonts w:ascii="Calibri" w:cs="Calibri" w:eastAsia="Calibri" w:hAnsi="Calibri"/>
          <w:color w:val="2B2B2B"/>
          <w:sz w:val="22"/>
          <w:szCs w:val="22"/>
        </w:rPr>
        <w:t xml:space="preserve"> — the Bridges bought from a second owner, not directly from builder Ferrell — held that a builder-vendor's disclaimer of the implied warranty must be clear and conspicuous to be effective, and held that the presence of a limited express warranty does not by itself displace the builder's implied-warranty liability for defective work.</w:t>
      </w:r>
    </w:p>
    <w:p>
      <w:pPr>
        <w:spacing w:after="80" w:before="80" w:line="300"/>
        <w:jc w:val="left"/>
      </w:pPr>
      <w:r>
        <w:rPr>
          <w:rFonts w:ascii="Calibri" w:cs="Calibri" w:eastAsia="Calibri" w:hAnsi="Calibri"/>
          <w:b w:val="false"/>
          <w:bCs w:val="false"/>
          <w:i/>
          <w:iCs/>
          <w:color w:val="2B2B2B"/>
          <w:sz w:val="22"/>
          <w:szCs w:val="22"/>
        </w:rPr>
        <w:t xml:space="preserve">McCool v. Hoover Equipment Co.</w:t>
      </w:r>
      <w:r>
        <w:rPr>
          <w:rFonts w:ascii="Calibri" w:cs="Calibri" w:eastAsia="Calibri" w:hAnsi="Calibri"/>
          <w:color w:val="2B2B2B"/>
          <w:sz w:val="22"/>
          <w:szCs w:val="22"/>
        </w:rPr>
        <w:t xml:space="preserve">, 1965 OK 138, 415 P.2d 954, an earlier commercial-sales case, established the Oklahoma Supreme Court's general willingness to recognize implied warranties even where the UCC did not literally apply — providing analytical support for the later </w:t>
      </w:r>
      <w:r>
        <w:rPr>
          <w:rFonts w:ascii="Calibri" w:cs="Calibri" w:eastAsia="Calibri" w:hAnsi="Calibri"/>
          <w:b w:val="false"/>
          <w:bCs w:val="false"/>
          <w:i/>
          <w:iCs/>
          <w:color w:val="2B2B2B"/>
          <w:sz w:val="22"/>
          <w:szCs w:val="22"/>
        </w:rPr>
        <w:t xml:space="preserve">Jeanguneat</w:t>
      </w:r>
      <w:r>
        <w:rPr>
          <w:rFonts w:ascii="Calibri" w:cs="Calibri" w:eastAsia="Calibri" w:hAnsi="Calibri"/>
          <w:color w:val="2B2B2B"/>
          <w:sz w:val="22"/>
          <w:szCs w:val="22"/>
        </w:rPr>
        <w:t xml:space="preserve"> holding.</w:t>
      </w:r>
    </w:p>
    <w:p>
      <w:pPr>
        <w:pStyle w:val="Heading2"/>
        <w:keepNext/>
        <w:spacing w:after="120" w:before="260"/>
      </w:pPr>
      <w:r>
        <w:rPr>
          <w:rFonts w:ascii="Calibri" w:cs="Calibri" w:eastAsia="Calibri" w:hAnsi="Calibri"/>
          <w:b/>
          <w:bCs/>
          <w:color w:val="2B2B2B"/>
          <w:sz w:val="28"/>
          <w:szCs w:val="28"/>
        </w:rPr>
        <w:t xml:space="preserve">What the warranty covers</w:t>
      </w:r>
    </w:p>
    <w:p>
      <w:pPr>
        <w:pStyle w:val="ListParagraph"/>
        <w:numPr>
          <w:ilvl w:val="0"/>
          <w:numId w:val="2"/>
        </w:numPr>
        <w:spacing w:after="40" w:before="40" w:line="280"/>
      </w:pPr>
      <w:r>
        <w:rPr>
          <w:rFonts w:ascii="Calibri" w:cs="Calibri" w:eastAsia="Calibri" w:hAnsi="Calibri"/>
          <w:color w:val="2B2B2B"/>
          <w:sz w:val="22"/>
          <w:szCs w:val="22"/>
        </w:rPr>
        <w:t xml:space="preserve">Latent defects — defects not discoverable on a reasonable inspection at closing.</w:t>
      </w:r>
    </w:p>
    <w:p>
      <w:pPr>
        <w:pStyle w:val="ListParagraph"/>
        <w:numPr>
          <w:ilvl w:val="0"/>
          <w:numId w:val="2"/>
        </w:numPr>
        <w:spacing w:after="40" w:before="40" w:line="280"/>
      </w:pPr>
      <w:r>
        <w:rPr>
          <w:rFonts w:ascii="Calibri" w:cs="Calibri" w:eastAsia="Calibri" w:hAnsi="Calibri"/>
          <w:color w:val="2B2B2B"/>
          <w:sz w:val="22"/>
          <w:szCs w:val="22"/>
        </w:rPr>
        <w:t xml:space="preserve">Workmanship — the home must be built with the skill ordinarily exercised by a competent builder in the community.</w:t>
      </w:r>
    </w:p>
    <w:p>
      <w:pPr>
        <w:pStyle w:val="ListParagraph"/>
        <w:numPr>
          <w:ilvl w:val="0"/>
          <w:numId w:val="2"/>
        </w:numPr>
        <w:spacing w:after="40" w:before="40" w:line="280"/>
      </w:pPr>
      <w:r>
        <w:rPr>
          <w:rFonts w:ascii="Calibri" w:cs="Calibri" w:eastAsia="Calibri" w:hAnsi="Calibri"/>
          <w:color w:val="2B2B2B"/>
          <w:sz w:val="22"/>
          <w:szCs w:val="22"/>
        </w:rPr>
        <w:t xml:space="preserve">Habitability — basic fitness for residential occupancy. Major defects affecting safety, sanitation, or fitness for human use are the heart of the doctrine.</w:t>
      </w:r>
    </w:p>
    <w:p>
      <w:pPr>
        <w:pStyle w:val="ListParagraph"/>
        <w:numPr>
          <w:ilvl w:val="0"/>
          <w:numId w:val="2"/>
        </w:numPr>
        <w:spacing w:after="40" w:before="40" w:line="280"/>
      </w:pPr>
      <w:r>
        <w:rPr>
          <w:rFonts w:ascii="Calibri" w:cs="Calibri" w:eastAsia="Calibri" w:hAnsi="Calibri"/>
          <w:color w:val="2B2B2B"/>
          <w:sz w:val="22"/>
          <w:szCs w:val="22"/>
        </w:rPr>
        <w:t xml:space="preserve">Latent defects discovered by subsequent (non-original) purchasers within a reasonable time after purchase (Bridges v. Ferrell, 1984 OK CIV APP 41).</w:t>
      </w:r>
    </w:p>
    <w:p>
      <w:pPr>
        <w:pStyle w:val="Heading2"/>
        <w:keepNext/>
        <w:spacing w:after="120" w:before="260"/>
      </w:pPr>
      <w:r>
        <w:rPr>
          <w:rFonts w:ascii="Calibri" w:cs="Calibri" w:eastAsia="Calibri" w:hAnsi="Calibri"/>
          <w:b/>
          <w:bCs/>
          <w:color w:val="2B2B2B"/>
          <w:sz w:val="28"/>
          <w:szCs w:val="28"/>
        </w:rPr>
        <w:t xml:space="preserve">What the warranty does not reach</w:t>
      </w:r>
    </w:p>
    <w:p>
      <w:pPr>
        <w:pStyle w:val="ListParagraph"/>
        <w:numPr>
          <w:ilvl w:val="0"/>
          <w:numId w:val="2"/>
        </w:numPr>
        <w:spacing w:after="40" w:before="40" w:line="280"/>
      </w:pPr>
      <w:r>
        <w:rPr>
          <w:rFonts w:ascii="Calibri" w:cs="Calibri" w:eastAsia="Calibri" w:hAnsi="Calibri"/>
          <w:color w:val="2B2B2B"/>
          <w:sz w:val="22"/>
          <w:szCs w:val="22"/>
        </w:rPr>
        <w:t xml:space="preserve">Patent defects that should have been discovered by reasonable inspection at closing.</w:t>
      </w:r>
    </w:p>
    <w:p>
      <w:pPr>
        <w:pStyle w:val="ListParagraph"/>
        <w:numPr>
          <w:ilvl w:val="0"/>
          <w:numId w:val="2"/>
        </w:numPr>
        <w:spacing w:after="40" w:before="40" w:line="280"/>
      </w:pPr>
      <w:r>
        <w:rPr>
          <w:rFonts w:ascii="Calibri" w:cs="Calibri" w:eastAsia="Calibri" w:hAnsi="Calibri"/>
          <w:color w:val="2B2B2B"/>
          <w:sz w:val="22"/>
          <w:szCs w:val="22"/>
        </w:rPr>
        <w:t xml:space="preserve">Cosmetic imperfections and minor workmanship deviations that do not render the home unfit for habitation.</w:t>
      </w:r>
    </w:p>
    <w:p>
      <w:pPr>
        <w:pStyle w:val="ListParagraph"/>
        <w:numPr>
          <w:ilvl w:val="0"/>
          <w:numId w:val="2"/>
        </w:numPr>
        <w:spacing w:after="40" w:before="40" w:line="280"/>
      </w:pPr>
      <w:r>
        <w:rPr>
          <w:rFonts w:ascii="Calibri" w:cs="Calibri" w:eastAsia="Calibri" w:hAnsi="Calibri"/>
          <w:color w:val="2B2B2B"/>
          <w:sz w:val="22"/>
          <w:szCs w:val="22"/>
        </w:rPr>
        <w:t xml:space="preserve">Resale of a used home from one homeowner to another (the warranty is on the builder-vendor in the original sale).</w:t>
      </w:r>
    </w:p>
    <w:p>
      <w:pPr>
        <w:pStyle w:val="Heading2"/>
        <w:keepNext/>
        <w:spacing w:after="120" w:before="260"/>
      </w:pPr>
      <w:r>
        <w:rPr>
          <w:rFonts w:ascii="Calibri" w:cs="Calibri" w:eastAsia="Calibri" w:hAnsi="Calibri"/>
          <w:b/>
          <w:bCs/>
          <w:color w:val="2B2B2B"/>
          <w:sz w:val="28"/>
          <w:szCs w:val="28"/>
        </w:rPr>
        <w:t xml:space="preserve">Disclaimers</w:t>
      </w:r>
    </w:p>
    <w:p>
      <w:pPr>
        <w:spacing w:after="80" w:before="80" w:line="300"/>
        <w:jc w:val="left"/>
      </w:pPr>
      <w:r>
        <w:rPr>
          <w:rFonts w:ascii="Calibri" w:cs="Calibri" w:eastAsia="Calibri" w:hAnsi="Calibri"/>
          <w:b w:val="false"/>
          <w:bCs w:val="false"/>
          <w:i w:val="false"/>
          <w:iCs w:val="false"/>
          <w:color w:val="2B2B2B"/>
          <w:sz w:val="22"/>
          <w:szCs w:val="22"/>
        </w:rPr>
        <w:t xml:space="preserve">Oklahoma case law has not held the implied warranty to be flatly non-waivable. Builders may attempt express, conspicuous, bargained-for disclaimers — but generic "AS-IS" language buried in a form contract is disfavored. To be effective, a disclaimer must be clear, specific, conspicuous, and supported by consideration. A homeowner facing a routine "AS-IS" or general disclaimer clause in a builder contract still has strong arguments that the Jeanguneat warranty survives, particularly for latent defects.</w:t>
      </w:r>
    </w:p>
    <w:p>
      <w:pPr>
        <w:pStyle w:val="Heading2"/>
        <w:keepNext/>
        <w:spacing w:after="120" w:before="260"/>
      </w:pPr>
      <w:r>
        <w:rPr>
          <w:rFonts w:ascii="Calibri" w:cs="Calibri" w:eastAsia="Calibri" w:hAnsi="Calibri"/>
          <w:b/>
          <w:bCs/>
          <w:color w:val="2B2B2B"/>
          <w:sz w:val="28"/>
          <w:szCs w:val="28"/>
        </w:rPr>
        <w:t xml:space="preserve">Subsequent purchasers</w:t>
      </w:r>
    </w:p>
    <w:p>
      <w:pPr>
        <w:spacing w:after="80" w:before="80" w:line="300"/>
        <w:jc w:val="left"/>
      </w:pPr>
      <w:r>
        <w:rPr>
          <w:rFonts w:ascii="Calibri" w:cs="Calibri" w:eastAsia="Calibri" w:hAnsi="Calibri"/>
          <w:b w:val="false"/>
          <w:bCs w:val="false"/>
          <w:i w:val="false"/>
          <w:iCs w:val="false"/>
          <w:color w:val="2B2B2B"/>
          <w:sz w:val="22"/>
          <w:szCs w:val="22"/>
        </w:rPr>
        <w:t xml:space="preserve">Bridges v. Ferrell (1984) extended the implied warranty of habitability to subsequent (non-original) purchasers for latent defects discovered within a reasonable time after purchase. Bridges is a Court of Civil Appeals decision; the Oklahoma Supreme Court has not issued a comparable controlling decision on subsequent-purchaser standing. Subsequent purchasers should still plead in the alternative — implied warranty, negligence, fraud, and contract claims — and preserve all theories given that the question has not been definitively settled at the supreme-court level.</w:t>
      </w:r>
    </w:p>
    <w:p>
      <w:pPr>
        <w:pStyle w:val="Heading2"/>
        <w:keepNext/>
        <w:spacing w:after="120" w:before="260"/>
      </w:pPr>
      <w:r>
        <w:rPr>
          <w:rFonts w:ascii="Calibri" w:cs="Calibri" w:eastAsia="Calibri" w:hAnsi="Calibri"/>
          <w:b/>
          <w:bCs/>
          <w:color w:val="2B2B2B"/>
          <w:sz w:val="28"/>
          <w:szCs w:val="28"/>
        </w:rPr>
        <w:t xml:space="preserve">Remedies</w:t>
      </w:r>
    </w:p>
    <w:p>
      <w:pPr>
        <w:spacing w:after="80" w:before="80" w:line="300"/>
        <w:jc w:val="left"/>
      </w:pPr>
      <w:r>
        <w:rPr>
          <w:rFonts w:ascii="Calibri" w:cs="Calibri" w:eastAsia="Calibri" w:hAnsi="Calibri"/>
          <w:b w:val="false"/>
          <w:bCs w:val="false"/>
          <w:i w:val="false"/>
          <w:iCs w:val="false"/>
          <w:color w:val="2B2B2B"/>
          <w:sz w:val="22"/>
          <w:szCs w:val="22"/>
        </w:rPr>
        <w:t xml:space="preserve">Remedies under Jeanguneat include rescission and restitution (return of the purchase price plus consequential damages) where defects render the home unfit for habitation and are not readily remediable, and damages measured by the cost of repair or the diminution in value where the home is habitable but defective. Plaintiffs commonly plead the implied warranty alongside breach of contract and OCPA claims to broaden the available remedies and reach attorney's fees.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3. No State Warranty Scheme, No Builder License, No Recovery Fund</w:t>
      </w:r>
    </w:p>
    <w:p>
      <w:pPr>
        <w:spacing w:after="80" w:before="80" w:line="300"/>
        <w:jc w:val="left"/>
      </w:pPr>
      <w:r>
        <w:rPr>
          <w:rFonts w:ascii="Calibri" w:cs="Calibri" w:eastAsia="Calibri" w:hAnsi="Calibri"/>
          <w:b w:val="false"/>
          <w:bCs w:val="false"/>
          <w:i w:val="false"/>
          <w:iCs w:val="false"/>
          <w:color w:val="2B2B2B"/>
          <w:sz w:val="22"/>
          <w:szCs w:val="22"/>
        </w:rPr>
        <w:t xml:space="preserve">Oklahoma has never adopted a statewide statutory new-home warranty regime comparable to Louisiana's New Home Warranty Act, New Jersey's New Home Warranty and Builders' Registration Act, or Texas's now-abolished TRCC scheme. The Legislature has not imposed a mandatory 1-2-10 or other structural warranty, has not established a state-administered dispute-resolution program, and has not created a homeowner recovery fund.</w:t>
      </w:r>
    </w:p>
    <w:p>
      <w:pPr>
        <w:spacing w:after="80" w:before="80" w:line="300"/>
        <w:jc w:val="left"/>
      </w:pPr>
      <w:r>
        <w:rPr>
          <w:rFonts w:ascii="Calibri" w:cs="Calibri" w:eastAsia="Calibri" w:hAnsi="Calibri"/>
          <w:b w:val="false"/>
          <w:bCs w:val="false"/>
          <w:i w:val="false"/>
          <w:iCs w:val="false"/>
          <w:color w:val="2B2B2B"/>
          <w:sz w:val="22"/>
          <w:szCs w:val="22"/>
        </w:rPr>
        <w:t xml:space="preserve">There is no statewide residential general contractor license. A person can hold themselves out as a homebuilder in Oklahoma without state credentialing. Specialty trades — plumbing, mechanical/HVAC, electrical, roofing, home inspection — are regulated, but the general-contracting function is not. The practical effect is that aggrieved homeowners cannot file with a state licensing board to seek discipline against a defaulting general builder; the remedies are private litigation, the Attorney General's Consumer Protection Unit, and informal channels like the BBB.</w:t>
      </w:r>
    </w:p>
    <w:p>
      <w:pPr>
        <w:pStyle w:val="Heading2"/>
        <w:keepNext/>
        <w:spacing w:after="120" w:before="260"/>
      </w:pPr>
      <w:r>
        <w:rPr>
          <w:rFonts w:ascii="Calibri" w:cs="Calibri" w:eastAsia="Calibri" w:hAnsi="Calibri"/>
          <w:b/>
          <w:bCs/>
          <w:color w:val="2B2B2B"/>
          <w:sz w:val="28"/>
          <w:szCs w:val="28"/>
        </w:rPr>
        <w:t xml:space="preserve">Voluntary OkHBA Certified Professional Builder</w:t>
      </w:r>
    </w:p>
    <w:p>
      <w:pPr>
        <w:spacing w:after="80" w:before="80" w:line="300"/>
        <w:jc w:val="left"/>
      </w:pPr>
      <w:r>
        <w:rPr>
          <w:rFonts w:ascii="Calibri" w:cs="Calibri" w:eastAsia="Calibri" w:hAnsi="Calibri"/>
          <w:b w:val="false"/>
          <w:bCs w:val="false"/>
          <w:i w:val="false"/>
          <w:iCs w:val="false"/>
          <w:color w:val="2B2B2B"/>
          <w:sz w:val="22"/>
          <w:szCs w:val="22"/>
        </w:rPr>
        <w:t xml:space="preserve">The Oklahoma State Home Builders Association offers a voluntary Certified Professional Builder credential. Builders who hold the credential commit to industry standards and must provide a written warranty of at least one year on workmanship and materials. The credential is private and self-policed; it is not a state license and the Association has no statutory enforcement authority. Homeowners working with a Certified Professional Builder should still rely on the written contract and warranty book as the operative legal documents.</w:t>
      </w:r>
    </w:p>
    <w:p>
      <w:pPr>
        <w:pStyle w:val="Heading2"/>
        <w:keepNext/>
        <w:spacing w:after="120" w:before="260"/>
      </w:pPr>
      <w:r>
        <w:rPr>
          <w:rFonts w:ascii="Calibri" w:cs="Calibri" w:eastAsia="Calibri" w:hAnsi="Calibri"/>
          <w:b/>
          <w:bCs/>
          <w:color w:val="2B2B2B"/>
          <w:sz w:val="28"/>
          <w:szCs w:val="28"/>
        </w:rPr>
        <w:t xml:space="preserve">Third-party structural warranty products</w:t>
      </w:r>
    </w:p>
    <w:p>
      <w:pPr>
        <w:spacing w:after="80" w:before="80" w:line="300"/>
        <w:jc w:val="left"/>
      </w:pPr>
      <w:r>
        <w:rPr>
          <w:rFonts w:ascii="Calibri" w:cs="Calibri" w:eastAsia="Calibri" w:hAnsi="Calibri"/>
          <w:b w:val="false"/>
          <w:bCs w:val="false"/>
          <w:i w:val="false"/>
          <w:iCs w:val="false"/>
          <w:color w:val="2B2B2B"/>
          <w:sz w:val="22"/>
          <w:szCs w:val="22"/>
        </w:rPr>
        <w:t xml:space="preserve">Many Oklahoma builders bundle a third-party structural warranty product from companies such as 2-10 HBW, RWC, StrucSure, or QBW. These products are regulated as home service contracts under the Oklahoma Home Service Contract Act, 36 O.S. § 6751 et seq., administered by the Oklahoma Insurance Department. The terms are contractual and vary by product — typical structures include one year on workmanship/materials, two years on plumbing/electrical/HVAC delivery systems, and ten years on major structural defects, often with binding arbitration. The homeowner should read the warranty book carefully at intake; coverage, exclusions, and dispute-resolution procedures vary materially across products.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4. The Oklahoma Consumer Protection Act (OCPA)</w:t>
      </w:r>
    </w:p>
    <w:p>
      <w:pPr>
        <w:spacing w:after="80" w:before="80" w:line="300"/>
        <w:jc w:val="left"/>
      </w:pPr>
      <w:r>
        <w:rPr>
          <w:rFonts w:ascii="Calibri" w:cs="Calibri" w:eastAsia="Calibri" w:hAnsi="Calibri"/>
          <w:b/>
          <w:bCs/>
          <w:i w:val="false"/>
          <w:iCs w:val="false"/>
          <w:color w:val="2B2B2B"/>
          <w:sz w:val="22"/>
          <w:szCs w:val="22"/>
        </w:rPr>
        <w:t xml:space="preserve">Application to new-home transactions. </w:t>
      </w:r>
      <w:r>
        <w:rPr>
          <w:rFonts w:ascii="Calibri" w:cs="Calibri" w:eastAsia="Calibri" w:hAnsi="Calibri"/>
          <w:color w:val="2B2B2B"/>
          <w:sz w:val="22"/>
          <w:szCs w:val="22"/>
        </w:rPr>
        <w:t xml:space="preserve">The OCPA, 15 O.S. § 751 et seq., reaches "consumer transactions" — sales, leases, and offers of merchandise or services to consumers for personal, family, or household use. Residential sales by a builder-vendor fall within the Act, subject to statutory exemptions in § 754 (most notably for activities regulated by a separate state agency under a specific statute).</w:t>
      </w:r>
    </w:p>
    <w:p>
      <w:pPr>
        <w:spacing w:after="80" w:before="80" w:line="300"/>
        <w:jc w:val="left"/>
      </w:pPr>
      <w:r>
        <w:rPr>
          <w:rFonts w:ascii="Calibri" w:cs="Calibri" w:eastAsia="Calibri" w:hAnsi="Calibri"/>
          <w:b w:val="false"/>
          <w:bCs w:val="false"/>
          <w:i/>
          <w:iCs/>
          <w:color w:val="2B2B2B"/>
          <w:sz w:val="22"/>
          <w:szCs w:val="22"/>
        </w:rPr>
        <w:t xml:space="preserve">Patterson v. Beall</w:t>
      </w:r>
      <w:r>
        <w:rPr>
          <w:rFonts w:ascii="Calibri" w:cs="Calibri" w:eastAsia="Calibri" w:hAnsi="Calibri"/>
          <w:color w:val="2B2B2B"/>
          <w:sz w:val="22"/>
          <w:szCs w:val="22"/>
        </w:rPr>
        <w:t xml:space="preserve">, 2000 OK 92, 19 P.3d 839, is a widely cited modern OCPA decision. The case arose from a $105 consumer dispute filed in small claims court. The Oklahoma Supreme Court held that OCPA claims are viable in the Small Claims Procedure Act framework and that summary judgment is generally inconsistent with that streamlined procedure. The Court also confirmed that whether a practice is unfair under the OCPA is a fact-intensive question to be decided case-by-case — reinforcing the statute's broad reach to ordinary consumer transactions including residential sales.</w:t>
      </w:r>
    </w:p>
    <w:p>
      <w:pPr>
        <w:pStyle w:val="Heading2"/>
        <w:keepNext/>
        <w:spacing w:after="120" w:before="260"/>
      </w:pPr>
      <w:r>
        <w:rPr>
          <w:rFonts w:ascii="Calibri" w:cs="Calibri" w:eastAsia="Calibri" w:hAnsi="Calibri"/>
          <w:b/>
          <w:bCs/>
          <w:color w:val="2B2B2B"/>
          <w:sz w:val="28"/>
          <w:szCs w:val="28"/>
        </w:rPr>
        <w:t xml:space="preserve">The elements of an OCPA claim</w:t>
      </w:r>
    </w:p>
    <w:p>
      <w:pPr>
        <w:pStyle w:val="ListParagraph"/>
        <w:numPr>
          <w:ilvl w:val="0"/>
          <w:numId w:val="2"/>
        </w:numPr>
        <w:spacing w:after="40" w:before="40" w:line="280"/>
      </w:pPr>
      <w:r>
        <w:rPr>
          <w:rFonts w:ascii="Calibri" w:cs="Calibri" w:eastAsia="Calibri" w:hAnsi="Calibri"/>
          <w:color w:val="2B2B2B"/>
          <w:sz w:val="22"/>
          <w:szCs w:val="22"/>
        </w:rPr>
        <w:t xml:space="preserve">The defendant engaged in an unlawful practice listed in 15 O.S. § 753, or a practice deemed unfair or deceptive under the catch-all of § 752.</w:t>
      </w:r>
    </w:p>
    <w:p>
      <w:pPr>
        <w:pStyle w:val="ListParagraph"/>
        <w:numPr>
          <w:ilvl w:val="0"/>
          <w:numId w:val="2"/>
        </w:numPr>
        <w:spacing w:after="40" w:before="40" w:line="280"/>
      </w:pPr>
      <w:r>
        <w:rPr>
          <w:rFonts w:ascii="Calibri" w:cs="Calibri" w:eastAsia="Calibri" w:hAnsi="Calibri"/>
          <w:color w:val="2B2B2B"/>
          <w:sz w:val="22"/>
          <w:szCs w:val="22"/>
        </w:rPr>
        <w:t xml:space="preserve">The practice occurred in the course of trade or commerce.</w:t>
      </w:r>
    </w:p>
    <w:p>
      <w:pPr>
        <w:pStyle w:val="ListParagraph"/>
        <w:numPr>
          <w:ilvl w:val="0"/>
          <w:numId w:val="2"/>
        </w:numPr>
        <w:spacing w:after="40" w:before="40" w:line="280"/>
      </w:pPr>
      <w:r>
        <w:rPr>
          <w:rFonts w:ascii="Calibri" w:cs="Calibri" w:eastAsia="Calibri" w:hAnsi="Calibri"/>
          <w:color w:val="2B2B2B"/>
          <w:sz w:val="22"/>
          <w:szCs w:val="22"/>
        </w:rPr>
        <w:t xml:space="preserve">The practice occurred in connection with a consumer transaction.</w:t>
      </w:r>
    </w:p>
    <w:p>
      <w:pPr>
        <w:pStyle w:val="ListParagraph"/>
        <w:numPr>
          <w:ilvl w:val="0"/>
          <w:numId w:val="2"/>
        </w:numPr>
        <w:spacing w:after="40" w:before="40" w:line="280"/>
      </w:pPr>
      <w:r>
        <w:rPr>
          <w:rFonts w:ascii="Calibri" w:cs="Calibri" w:eastAsia="Calibri" w:hAnsi="Calibri"/>
          <w:color w:val="2B2B2B"/>
          <w:sz w:val="22"/>
          <w:szCs w:val="22"/>
        </w:rPr>
        <w:t xml:space="preserve">The consumer suffered an injury in fact as a result of reliance on the unlawful practice.</w:t>
      </w:r>
    </w:p>
    <w:p>
      <w:pPr>
        <w:pStyle w:val="Heading2"/>
        <w:keepNext/>
        <w:spacing w:after="120" w:before="260"/>
      </w:pPr>
      <w:r>
        <w:rPr>
          <w:rFonts w:ascii="Calibri" w:cs="Calibri" w:eastAsia="Calibri" w:hAnsi="Calibri"/>
          <w:b/>
          <w:bCs/>
          <w:color w:val="2B2B2B"/>
          <w:sz w:val="28"/>
          <w:szCs w:val="28"/>
        </w:rPr>
        <w:t xml:space="preserve">Remedies under § 761.1</w:t>
      </w:r>
    </w:p>
    <w:p>
      <w:pPr>
        <w:pStyle w:val="ListParagraph"/>
        <w:numPr>
          <w:ilvl w:val="0"/>
          <w:numId w:val="2"/>
        </w:numPr>
        <w:spacing w:after="40" w:before="40" w:line="280"/>
      </w:pPr>
      <w:r>
        <w:rPr>
          <w:rFonts w:ascii="Calibri" w:cs="Calibri" w:eastAsia="Calibri" w:hAnsi="Calibri"/>
          <w:color w:val="2B2B2B"/>
          <w:sz w:val="22"/>
          <w:szCs w:val="22"/>
        </w:rPr>
        <w:t xml:space="preserve">Actual damages — typically cost of repair, diminution in value, consequential losses, and any out-of-pocket expenses.</w:t>
      </w:r>
    </w:p>
    <w:p>
      <w:pPr>
        <w:pStyle w:val="ListParagraph"/>
        <w:numPr>
          <w:ilvl w:val="0"/>
          <w:numId w:val="2"/>
        </w:numPr>
        <w:spacing w:after="40" w:before="40" w:line="280"/>
      </w:pPr>
      <w:r>
        <w:rPr>
          <w:rFonts w:ascii="Calibri" w:cs="Calibri" w:eastAsia="Calibri" w:hAnsi="Calibri"/>
          <w:color w:val="2B2B2B"/>
          <w:sz w:val="22"/>
          <w:szCs w:val="22"/>
        </w:rPr>
        <w:t xml:space="preserve">Reasonable attorney's fees and costs awarded to the prevailing consumer. This fee-shifting is the most significant practical lever for homeowners with modest damages.</w:t>
      </w:r>
    </w:p>
    <w:p>
      <w:pPr>
        <w:pStyle w:val="ListParagraph"/>
        <w:numPr>
          <w:ilvl w:val="0"/>
          <w:numId w:val="2"/>
        </w:numPr>
        <w:spacing w:after="40" w:before="40" w:line="280"/>
      </w:pPr>
      <w:r>
        <w:rPr>
          <w:rFonts w:ascii="Calibri" w:cs="Calibri" w:eastAsia="Calibri" w:hAnsi="Calibri"/>
          <w:color w:val="2B2B2B"/>
          <w:sz w:val="22"/>
          <w:szCs w:val="22"/>
        </w:rPr>
        <w:t xml:space="preserve">Civil penalty up to $10,000 per violation in actions brought by the Attorney General (not available to private plaintiffs).</w:t>
      </w:r>
    </w:p>
    <w:p>
      <w:pPr>
        <w:pStyle w:val="ListParagraph"/>
        <w:numPr>
          <w:ilvl w:val="0"/>
          <w:numId w:val="2"/>
        </w:numPr>
        <w:spacing w:after="40" w:before="40" w:line="280"/>
      </w:pPr>
      <w:r>
        <w:rPr>
          <w:rFonts w:ascii="Calibri" w:cs="Calibri" w:eastAsia="Calibri" w:hAnsi="Calibri"/>
          <w:color w:val="2B2B2B"/>
          <w:sz w:val="22"/>
          <w:szCs w:val="22"/>
        </w:rPr>
        <w:t xml:space="preserve">No statutory treble damages. Punitive damages may be sought separately under 23 O.S. § 9.1 on a showing of reckless disregard, fraud, or malice.</w:t>
      </w:r>
    </w:p>
    <w:p>
      <w:pPr>
        <w:pStyle w:val="Heading2"/>
        <w:keepNext/>
        <w:spacing w:after="120" w:before="260"/>
      </w:pPr>
      <w:r>
        <w:rPr>
          <w:rFonts w:ascii="Calibri" w:cs="Calibri" w:eastAsia="Calibri" w:hAnsi="Calibri"/>
          <w:b/>
          <w:bCs/>
          <w:color w:val="2B2B2B"/>
          <w:sz w:val="28"/>
          <w:szCs w:val="28"/>
        </w:rPr>
        <w:t xml:space="preserve">The Home Repair Fraud Act does not apply to original construction</w:t>
      </w:r>
    </w:p>
    <w:p>
      <w:pPr>
        <w:spacing w:after="80" w:before="80" w:line="300"/>
        <w:jc w:val="left"/>
      </w:pPr>
      <w:r>
        <w:rPr>
          <w:rFonts w:ascii="Calibri" w:cs="Calibri" w:eastAsia="Calibri" w:hAnsi="Calibri"/>
          <w:b w:val="false"/>
          <w:bCs w:val="false"/>
          <w:i w:val="false"/>
          <w:iCs w:val="false"/>
          <w:color w:val="2B2B2B"/>
          <w:sz w:val="22"/>
          <w:szCs w:val="22"/>
        </w:rPr>
        <w:t xml:space="preserve">The Home Repair Fraud Act, 15 O.S. § 765.1 et seq., is a related but separate statute that creates criminal and civil liability for deceptive home-repair practices. Under 15 O.S. § 765.2, the Act expressly does not apply to "the original construction of any single-family or multi-family residential building or structure." The Act reaches repair, remodeling, additions, and improvements only. Homeowners whose claims arise from new-home construction must rely on the general OCPA (§ 751 et seq.) rather than the Home Repair Fraud Act.</w:t>
      </w:r>
    </w:p>
    <w:p>
      <w:pPr>
        <w:pStyle w:val="Heading2"/>
        <w:keepNext/>
        <w:spacing w:after="120" w:before="260"/>
      </w:pPr>
      <w:r>
        <w:rPr>
          <w:rFonts w:ascii="Calibri" w:cs="Calibri" w:eastAsia="Calibri" w:hAnsi="Calibri"/>
          <w:b/>
          <w:bCs/>
          <w:color w:val="2B2B2B"/>
          <w:sz w:val="28"/>
          <w:szCs w:val="28"/>
        </w:rPr>
        <w:t xml:space="preserve">Statute of limitations</w:t>
      </w:r>
    </w:p>
    <w:p>
      <w:pPr>
        <w:spacing w:after="80" w:before="80" w:line="300"/>
        <w:jc w:val="left"/>
      </w:pPr>
      <w:r>
        <w:rPr>
          <w:rFonts w:ascii="Calibri" w:cs="Calibri" w:eastAsia="Calibri" w:hAnsi="Calibri"/>
          <w:b w:val="false"/>
          <w:bCs w:val="false"/>
          <w:i w:val="false"/>
          <w:iCs w:val="false"/>
          <w:color w:val="2B2B2B"/>
          <w:sz w:val="22"/>
          <w:szCs w:val="22"/>
        </w:rPr>
        <w:t xml:space="preserve">Most OCPA claims are governed by 12 O.S. § 95(A)(2) — 3 years for liability created by statute. Discovery accrual applies under Oklahoma's general discovery-rule jurisprudence: the clock runs from when the consumer discovered or, in the exercise of reasonable diligence, should have discovered the deceptive act.</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5. Contract-Triggered Right-to-Repair under 15 O.S. § 765.6</w:t>
      </w:r>
    </w:p>
    <w:p>
      <w:pPr>
        <w:spacing w:after="80" w:before="80" w:line="300"/>
        <w:jc w:val="left"/>
      </w:pPr>
      <w:r>
        <w:rPr>
          <w:rFonts w:ascii="Calibri" w:cs="Calibri" w:eastAsia="Calibri" w:hAnsi="Calibri"/>
          <w:b w:val="false"/>
          <w:bCs w:val="false"/>
          <w:i w:val="false"/>
          <w:iCs w:val="false"/>
          <w:color w:val="2B2B2B"/>
          <w:sz w:val="22"/>
          <w:szCs w:val="22"/>
        </w:rPr>
        <w:t xml:space="preserve">Oklahoma does not have a mandatory statewide right-to-repair statute. Unlike Texas (Tex. Prop. Code Ch. 27 RCLA), Florida (Ch. 558), Nevada (NRS Ch. 40), or California (the Right to Repair Act), Oklahoma's pre-suit notice-and-cure procedure is permissive — it applies only when the residential construction contract itself includes a notice-and-cure clause.</w:t>
      </w:r>
    </w:p>
    <w:p>
      <w:pPr>
        <w:pStyle w:val="Heading2"/>
        <w:keepNext/>
        <w:spacing w:after="120" w:before="260"/>
      </w:pPr>
      <w:r>
        <w:rPr>
          <w:rFonts w:ascii="Calibri" w:cs="Calibri" w:eastAsia="Calibri" w:hAnsi="Calibri"/>
          <w:b/>
          <w:bCs/>
          <w:color w:val="2B2B2B"/>
          <w:sz w:val="28"/>
          <w:szCs w:val="28"/>
        </w:rPr>
        <w:t xml:space="preserve">How § 765.6 works</w:t>
      </w:r>
    </w:p>
    <w:p>
      <w:pPr>
        <w:spacing w:after="80" w:before="80" w:line="300"/>
        <w:jc w:val="left"/>
      </w:pPr>
      <w:r>
        <w:rPr>
          <w:rFonts w:ascii="Calibri" w:cs="Calibri" w:eastAsia="Calibri" w:hAnsi="Calibri"/>
          <w:b w:val="false"/>
          <w:bCs w:val="false"/>
          <w:i w:val="false"/>
          <w:iCs w:val="false"/>
          <w:color w:val="2B2B2B"/>
          <w:sz w:val="22"/>
          <w:szCs w:val="22"/>
        </w:rPr>
        <w:t xml:space="preserve">15 O.S. § 765.6 provides that residential construction contracts may include notice-and-offer-to-repair provisions. Where the contract includes such a provision, the homeowner must, before filing suit:</w:t>
      </w:r>
    </w:p>
    <w:p>
      <w:pPr>
        <w:pStyle w:val="ListParagraph"/>
        <w:numPr>
          <w:ilvl w:val="0"/>
          <w:numId w:val="3"/>
        </w:numPr>
        <w:spacing w:after="60" w:before="60" w:line="280"/>
      </w:pPr>
      <w:r>
        <w:rPr>
          <w:rFonts w:ascii="Calibri" w:cs="Calibri" w:eastAsia="Calibri" w:hAnsi="Calibri"/>
          <w:color w:val="2B2B2B"/>
          <w:sz w:val="22"/>
          <w:szCs w:val="22"/>
        </w:rPr>
        <w:t xml:space="preserve">Give the contractor written notice of the construction defects, with reasonable detail describing each defect and any supporting evidence.</w:t>
      </w:r>
    </w:p>
    <w:p>
      <w:pPr>
        <w:pStyle w:val="ListParagraph"/>
        <w:numPr>
          <w:ilvl w:val="0"/>
          <w:numId w:val="3"/>
        </w:numPr>
        <w:spacing w:after="60" w:before="60" w:line="280"/>
      </w:pPr>
      <w:r>
        <w:rPr>
          <w:rFonts w:ascii="Calibri" w:cs="Calibri" w:eastAsia="Calibri" w:hAnsi="Calibri"/>
          <w:color w:val="2B2B2B"/>
          <w:sz w:val="22"/>
          <w:szCs w:val="22"/>
        </w:rPr>
        <w:t xml:space="preserve">Allow the contractor a reasonable opportunity to inspect the alleged defects.</w:t>
      </w:r>
    </w:p>
    <w:p>
      <w:pPr>
        <w:pStyle w:val="ListParagraph"/>
        <w:numPr>
          <w:ilvl w:val="0"/>
          <w:numId w:val="3"/>
        </w:numPr>
        <w:spacing w:after="60" w:before="60" w:line="280"/>
      </w:pPr>
      <w:r>
        <w:rPr>
          <w:rFonts w:ascii="Calibri" w:cs="Calibri" w:eastAsia="Calibri" w:hAnsi="Calibri"/>
          <w:color w:val="2B2B2B"/>
          <w:sz w:val="22"/>
          <w:szCs w:val="22"/>
        </w:rPr>
        <w:t xml:space="preserve">Allow the contractor 30 days to issue a written response — either an offer to repair, an offer to compensate, or a denial of the claim.</w:t>
      </w:r>
    </w:p>
    <w:p>
      <w:pPr>
        <w:spacing w:after="80" w:before="80" w:line="300"/>
        <w:jc w:val="left"/>
      </w:pPr>
      <w:r>
        <w:rPr>
          <w:rFonts w:ascii="Calibri" w:cs="Calibri" w:eastAsia="Calibri" w:hAnsi="Calibri"/>
          <w:b w:val="false"/>
          <w:bCs w:val="false"/>
          <w:i w:val="false"/>
          <w:iCs w:val="false"/>
          <w:color w:val="2B2B2B"/>
          <w:sz w:val="22"/>
          <w:szCs w:val="22"/>
        </w:rPr>
        <w:t xml:space="preserve">If the homeowner files suit without complying with a contract-mandated notice-and-cure procedure, the contractor is entitled to a stay until the conditions precedent are satisfied. The case is paused, not dismissed; the homeowner gives the missing notice, the contractor has its 30-day window, and the litigation resumes.</w:t>
      </w:r>
    </w:p>
    <w:p>
      <w:pPr>
        <w:pStyle w:val="Heading2"/>
        <w:keepNext/>
        <w:spacing w:after="120" w:before="260"/>
      </w:pPr>
      <w:r>
        <w:rPr>
          <w:rFonts w:ascii="Calibri" w:cs="Calibri" w:eastAsia="Calibri" w:hAnsi="Calibri"/>
          <w:b/>
          <w:bCs/>
          <w:color w:val="2B2B2B"/>
          <w:sz w:val="28"/>
          <w:szCs w:val="28"/>
        </w:rPr>
        <w:t xml:space="preserve">Statutory definition of construction defect</w:t>
      </w:r>
    </w:p>
    <w:p>
      <w:pPr>
        <w:spacing w:after="80" w:before="80" w:line="300"/>
        <w:jc w:val="left"/>
      </w:pPr>
      <w:r>
        <w:rPr>
          <w:rFonts w:ascii="Calibri" w:cs="Calibri" w:eastAsia="Calibri" w:hAnsi="Calibri"/>
          <w:b w:val="false"/>
          <w:bCs w:val="false"/>
          <w:i w:val="false"/>
          <w:iCs w:val="false"/>
          <w:color w:val="2B2B2B"/>
          <w:sz w:val="22"/>
          <w:szCs w:val="22"/>
        </w:rPr>
        <w:t xml:space="preserve">Under § 765.6, "construction defect" includes deficiencies in the design, specifications, surveying, planning, supervision, or construction of a residential improvement; defective or insufficient materials or products; violations of applicable building codes; and failure to construct in a good and workmanlike manner. This is a broad definition that captures most homeowner complaints — workmanship failures, design errors, material defects, and code violations all fall within it.</w:t>
      </w:r>
    </w:p>
    <w:p>
      <w:pPr>
        <w:pStyle w:val="Heading2"/>
        <w:keepNext/>
        <w:spacing w:after="120" w:before="260"/>
      </w:pPr>
      <w:r>
        <w:rPr>
          <w:rFonts w:ascii="Calibri" w:cs="Calibri" w:eastAsia="Calibri" w:hAnsi="Calibri"/>
          <w:b/>
          <w:bCs/>
          <w:color w:val="2B2B2B"/>
          <w:sz w:val="28"/>
          <w:szCs w:val="28"/>
        </w:rPr>
        <w:t xml:space="preserve">Practical effect</w:t>
      </w:r>
    </w:p>
    <w:p>
      <w:pPr>
        <w:spacing w:after="80" w:before="80" w:line="300"/>
        <w:jc w:val="left"/>
      </w:pPr>
      <w:r>
        <w:rPr>
          <w:rFonts w:ascii="Calibri" w:cs="Calibri" w:eastAsia="Calibri" w:hAnsi="Calibri"/>
          <w:b w:val="false"/>
          <w:bCs w:val="false"/>
          <w:i w:val="false"/>
          <w:iCs w:val="false"/>
          <w:color w:val="2B2B2B"/>
          <w:sz w:val="22"/>
          <w:szCs w:val="22"/>
        </w:rPr>
        <w:t xml:space="preserve">Almost every professional builder contract in Oklahoma now includes a § 765.6 notice-and-cure clause. The homeowner's first step in any defect dispute is to read the contract carefully, identify the notice procedure, send written notice by a method that creates a delivery record (certified mail return receipt requested, or a courier with signed delivery confirmation), document the defects with photos and any inspection reports, and grant a reasonable inspection opportunity. Skipping these steps invites a stay motion and delays the case by months. The homeowner does not have to accept any offer the contractor makes, but the homeowner does have to comply with the contract's notice procedure if one exists.</w:t>
      </w:r>
    </w:p>
    <w:p>
      <w:pPr>
        <w:pStyle w:val="Heading2"/>
        <w:keepNext/>
        <w:spacing w:after="120" w:before="260"/>
      </w:pPr>
      <w:r>
        <w:rPr>
          <w:rFonts w:ascii="Calibri" w:cs="Calibri" w:eastAsia="Calibri" w:hAnsi="Calibri"/>
          <w:b/>
          <w:bCs/>
          <w:color w:val="2B2B2B"/>
          <w:sz w:val="28"/>
          <w:szCs w:val="28"/>
        </w:rPr>
        <w:t xml:space="preserve">Amendments effective November 1, 2023</w:t>
      </w:r>
    </w:p>
    <w:p>
      <w:pPr>
        <w:spacing w:after="80" w:before="80" w:line="300"/>
        <w:jc w:val="left"/>
      </w:pPr>
      <w:r>
        <w:rPr>
          <w:rFonts w:ascii="Calibri" w:cs="Calibri" w:eastAsia="Calibri" w:hAnsi="Calibri"/>
          <w:b w:val="false"/>
          <w:bCs w:val="false"/>
          <w:i w:val="false"/>
          <w:iCs w:val="false"/>
          <w:color w:val="2B2B2B"/>
          <w:sz w:val="22"/>
          <w:szCs w:val="22"/>
        </w:rPr>
        <w:t xml:space="preserve">The 2023 amendments to 15 O.S. § 765.6 refined the notice-and-cure provisions and clarified the contractor's 30-day response window. The amended language took effect November 1, 2023. Contracts signed on or after that date should reference the current statutory text; contracts signed before the amendment may operate under the prior version of § 765.6, and counsel should consult the version in force at the time of contracting.</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6. Statutes of Limitations and Repose</w:t>
      </w:r>
    </w:p>
    <w:p>
      <w:pPr>
        <w:spacing w:after="80" w:before="80" w:line="300"/>
        <w:jc w:val="left"/>
      </w:pPr>
      <w:r>
        <w:rPr>
          <w:rFonts w:ascii="Calibri" w:cs="Calibri" w:eastAsia="Calibri" w:hAnsi="Calibri"/>
          <w:b w:val="false"/>
          <w:bCs w:val="false"/>
          <w:i w:val="false"/>
          <w:iCs w:val="false"/>
          <w:color w:val="2B2B2B"/>
          <w:sz w:val="22"/>
          <w:szCs w:val="22"/>
        </w:rPr>
        <w:t xml:space="preserve">Multiple clocks run in parallel. Whichever expires first controls. The 10-year statute of repose is an absolute outer ceiling.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4000"/>
      </w:tblGrid>
      <w:tr>
        <w:trPr>
          <w:tblHeader/>
        </w:trPr>
        <w:tc>
          <w:tcPr>
            <w:tcW w:type="dxa" w:w="33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Theory of liability</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Period</w:t>
            </w:r>
          </w:p>
        </w:tc>
        <w:tc>
          <w:tcPr>
            <w:tcW w:type="dxa" w:w="4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Trigger / accrual</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written contract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5 years (12 O.S. § 95(A)(1))</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breach. Discovery rule applies for latent defects under general Oklahoma jurisprudence.</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Oral contract / liability created by statute (OCPA)</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3 years (12 O.S. § 95(A)(2))</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breach or date of statutory violation. Discovery rule applies.</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Trespass to real property; negligence / injury to rights</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 years (12 O.S. § 95(A)(3))</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accrual or discovery for latent defects.</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Fraud</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 years (12 O.S. § 95(A)(12))</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Statutory discovery rule — does not accrue until the aggrieved party discovers the fraud.</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implied warranty of habitability (Jeanguneat)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5 years where contract is written; otherwise 3</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Treated as a contract action by Oklahoma courts. Discovery rule applies for latent defects.</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Statute of repose — improvements to real property</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10 years (12 O.S. § 109)</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substantial completion. Absolute outer bar; not subject to the discovery rule. Fraud and willful misconduct historically outside the repose.</w:t>
            </w:r>
          </w:p>
        </w:tc>
      </w:tr>
    </w:tbl>
    <w:p>
      <w:pPr>
        <w:pStyle w:val="Heading2"/>
        <w:keepNext/>
        <w:spacing w:after="120" w:before="260"/>
      </w:pPr>
      <w:r>
        <w:rPr>
          <w:rFonts w:ascii="Calibri" w:cs="Calibri" w:eastAsia="Calibri" w:hAnsi="Calibri"/>
          <w:b/>
          <w:bCs/>
          <w:color w:val="2B2B2B"/>
          <w:sz w:val="28"/>
          <w:szCs w:val="28"/>
        </w:rPr>
        <w:t xml:space="preserve">The discovery rule for latent defects</w:t>
      </w:r>
    </w:p>
    <w:p>
      <w:pPr>
        <w:spacing w:after="80" w:before="80" w:line="300"/>
        <w:jc w:val="left"/>
      </w:pPr>
      <w:r>
        <w:rPr>
          <w:rFonts w:ascii="Calibri" w:cs="Calibri" w:eastAsia="Calibri" w:hAnsi="Calibri"/>
          <w:b w:val="false"/>
          <w:bCs w:val="false"/>
          <w:i w:val="false"/>
          <w:iCs w:val="false"/>
          <w:color w:val="2B2B2B"/>
          <w:sz w:val="22"/>
          <w:szCs w:val="22"/>
        </w:rPr>
        <w:t xml:space="preserve">Oklahoma applies a discovery rule to latent construction defects under both contract and tort theories. The clock runs from when the homeowner knew or, in the exercise of reasonable diligence, should have discovered the defect. The discovery rule extends the start date; it does not extend the 10-year repose ceiling. Documentation of when the defect first manifested and what reasonable steps were taken to investigate are critical at intake.</w:t>
      </w:r>
    </w:p>
    <w:p>
      <w:pPr>
        <w:pStyle w:val="Heading2"/>
        <w:keepNext/>
        <w:spacing w:after="120" w:before="260"/>
      </w:pPr>
      <w:r>
        <w:rPr>
          <w:rFonts w:ascii="Calibri" w:cs="Calibri" w:eastAsia="Calibri" w:hAnsi="Calibri"/>
          <w:b/>
          <w:bCs/>
          <w:color w:val="2B2B2B"/>
          <w:sz w:val="28"/>
          <w:szCs w:val="28"/>
        </w:rPr>
        <w:t xml:space="preserve">12 O.S. § 109 — the absolute outer ceiling</w:t>
      </w:r>
    </w:p>
    <w:p>
      <w:pPr>
        <w:spacing w:after="80" w:before="80" w:line="300"/>
        <w:jc w:val="left"/>
      </w:pPr>
      <w:r>
        <w:rPr>
          <w:rFonts w:ascii="Calibri" w:cs="Calibri" w:eastAsia="Calibri" w:hAnsi="Calibri"/>
          <w:b w:val="false"/>
          <w:bCs w:val="false"/>
          <w:i w:val="false"/>
          <w:iCs w:val="false"/>
          <w:color w:val="2B2B2B"/>
          <w:sz w:val="22"/>
          <w:szCs w:val="22"/>
        </w:rPr>
        <w:t xml:space="preserve">Section 109 provides that no action in tort to recover damages arising out of the defective and unsafe condition of an improvement to real property may be brought against any person who owns, leases, possesses, designs, plans, supervises, observes, or performs construction of the improvement more than ten years after substantial completion of the improvement. Oklahoma courts have read § 109 broadly to reach actions arising out of construction defects; while the statute's text emphasizes tort claims, the working assumption is that the 10-year ceiling applies to defect-based claims regardless of theory. The statute itself does not expressly carve out fraud or willful misconduct; whether such conduct falls outside the repose under general Oklahoma equitable doctrines is a question of current case law. Counsel should verify current authority before relying on any theory to push past year ten.</w:t>
      </w:r>
    </w:p>
    <w:p>
      <w:pPr>
        <w:pStyle w:val="Heading2"/>
        <w:keepNext/>
        <w:spacing w:after="120" w:before="260"/>
      </w:pPr>
      <w:r>
        <w:rPr>
          <w:rFonts w:ascii="Calibri" w:cs="Calibri" w:eastAsia="Calibri" w:hAnsi="Calibri"/>
          <w:b/>
          <w:bCs/>
          <w:color w:val="2B2B2B"/>
          <w:sz w:val="28"/>
          <w:szCs w:val="28"/>
        </w:rPr>
        <w:t xml:space="preserve">Tolling and equitable doctrines</w:t>
      </w:r>
    </w:p>
    <w:p>
      <w:pPr>
        <w:spacing w:after="80" w:before="80" w:line="300"/>
        <w:jc w:val="left"/>
      </w:pPr>
      <w:r>
        <w:rPr>
          <w:rFonts w:ascii="Calibri" w:cs="Calibri" w:eastAsia="Calibri" w:hAnsi="Calibri"/>
          <w:b w:val="false"/>
          <w:bCs w:val="false"/>
          <w:i w:val="false"/>
          <w:iCs w:val="false"/>
          <w:color w:val="2B2B2B"/>
          <w:sz w:val="22"/>
          <w:szCs w:val="22"/>
        </w:rPr>
        <w:t xml:space="preserve">Fraudulent concealment may toll the statute of limitations where the defendant actively concealed the wrong or the cause of action. Equitable estoppel may also apply where the defendant induced the plaintiff to delay filing. Minority and incapacity tolling under 12 O.S. § 96 apply in limited circumstances. None of these doctrines extends the 10-year statute of repose under § 109.</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7. Complaint Channels</w:t>
      </w:r>
    </w:p>
    <w:p>
      <w:pPr>
        <w:pStyle w:val="Heading2"/>
        <w:keepNext/>
        <w:spacing w:after="120" w:before="260"/>
      </w:pPr>
      <w:r>
        <w:rPr>
          <w:rFonts w:ascii="Calibri" w:cs="Calibri" w:eastAsia="Calibri" w:hAnsi="Calibri"/>
          <w:b/>
          <w:bCs/>
          <w:color w:val="2B2B2B"/>
          <w:sz w:val="28"/>
          <w:szCs w:val="28"/>
        </w:rPr>
        <w:t xml:space="preserve">Oklahoma Attorney General — Consumer Protection Unit</w:t>
      </w:r>
    </w:p>
    <w:p>
      <w:pPr>
        <w:spacing w:after="80" w:before="80" w:line="300"/>
        <w:jc w:val="left"/>
      </w:pPr>
      <w:r>
        <w:rPr>
          <w:rFonts w:ascii="Calibri" w:cs="Calibri" w:eastAsia="Calibri" w:hAnsi="Calibri"/>
          <w:b w:val="false"/>
          <w:bCs w:val="false"/>
          <w:i w:val="false"/>
          <w:iCs w:val="false"/>
          <w:color w:val="2B2B2B"/>
          <w:sz w:val="22"/>
          <w:szCs w:val="22"/>
        </w:rPr>
        <w:t xml:space="preserve">The Consumer Protection Unit accepts complaints alleging deceptive trade practices, fraud, and OCPA violations. The unit does not litigate individual consumer cases but maintains complaint records, may mediate informally, and may pursue enforcement actions on behalf of the State. Complaints are public records and become part of the Attorney General's pattern-and-practice analysis.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Complaint forms and information: </w:t>
      </w:r>
      <w:hyperlink w:history="1" r:id="rIdoph-0l0kflxfnk8dnem9n">
        <w:r>
          <w:rPr>
            <w:rFonts w:ascii="Calibri" w:cs="Calibri" w:eastAsia="Calibri" w:hAnsi="Calibri"/>
            <w:color w:val="1F3A68"/>
            <w:sz w:val="22"/>
            <w:szCs w:val="22"/>
            <w:u w:val="single"/>
          </w:rPr>
          <w:t xml:space="preserve">oklahoma.gov/oag/complaints</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Consumer Protection email: </w:t>
      </w:r>
      <w:r>
        <w:rPr>
          <w:rFonts w:ascii="Calibri" w:cs="Calibri" w:eastAsia="Calibri" w:hAnsi="Calibri"/>
          <w:color w:val="2B2B2B"/>
          <w:sz w:val="22"/>
          <w:szCs w:val="22"/>
        </w:rPr>
        <w:t xml:space="preserve">ConsumerProtection@oag.ok.gov.</w:t>
      </w:r>
    </w:p>
    <w:p>
      <w:pPr>
        <w:pStyle w:val="Heading2"/>
        <w:keepNext/>
        <w:spacing w:after="120" w:before="260"/>
      </w:pPr>
      <w:r>
        <w:rPr>
          <w:rFonts w:ascii="Calibri" w:cs="Calibri" w:eastAsia="Calibri" w:hAnsi="Calibri"/>
          <w:b/>
          <w:bCs/>
          <w:color w:val="2B2B2B"/>
          <w:sz w:val="28"/>
          <w:szCs w:val="28"/>
        </w:rPr>
        <w:t xml:space="preserve">Construction Industries Board (CIB)</w:t>
      </w:r>
    </w:p>
    <w:p>
      <w:pPr>
        <w:spacing w:after="80" w:before="80" w:line="300"/>
        <w:jc w:val="left"/>
      </w:pPr>
      <w:r>
        <w:rPr>
          <w:rFonts w:ascii="Calibri" w:cs="Calibri" w:eastAsia="Calibri" w:hAnsi="Calibri"/>
          <w:b w:val="false"/>
          <w:bCs w:val="false"/>
          <w:i w:val="false"/>
          <w:iCs w:val="false"/>
          <w:color w:val="2B2B2B"/>
          <w:sz w:val="22"/>
          <w:szCs w:val="22"/>
        </w:rPr>
        <w:t xml:space="preserve">The CIB licenses and disciplines plumbing, mechanical (HVAC), electrical, home inspection, and roofing-registration trades under 59 O.S. § 1000.1 et seq. and the Oklahoma Roofing Contractor Registration Act, 59 O.S. § 1151.1 et seq. The CIB has no jurisdiction over residential general contractors because Oklahoma does not license them. Complaints against a CIB-licensed plumbing, HVAC, electrical, or home-inspection contractor may result in fines, license suspension, or revocation.</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License lookup and complaint filing: </w:t>
      </w:r>
      <w:hyperlink w:history="1" r:id="rIdw86bz4r_awpnshwwm9yje">
        <w:r>
          <w:rPr>
            <w:rFonts w:ascii="Calibri" w:cs="Calibri" w:eastAsia="Calibri" w:hAnsi="Calibri"/>
            <w:color w:val="1F3A68"/>
            <w:sz w:val="22"/>
            <w:szCs w:val="22"/>
            <w:u w:val="single"/>
          </w:rPr>
          <w:t xml:space="preserve">oklahoma.gov/cib</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CIB office: </w:t>
      </w:r>
      <w:r>
        <w:rPr>
          <w:rFonts w:ascii="Calibri" w:cs="Calibri" w:eastAsia="Calibri" w:hAnsi="Calibri"/>
          <w:color w:val="2B2B2B"/>
          <w:sz w:val="22"/>
          <w:szCs w:val="22"/>
        </w:rPr>
        <w:t xml:space="preserve">2401 NW 23rd St., Suite 2F, Oklahoma City, OK 73107.</w:t>
      </w:r>
    </w:p>
    <w:p>
      <w:pPr>
        <w:pStyle w:val="Heading2"/>
        <w:keepNext/>
        <w:spacing w:after="120" w:before="260"/>
      </w:pPr>
      <w:r>
        <w:rPr>
          <w:rFonts w:ascii="Calibri" w:cs="Calibri" w:eastAsia="Calibri" w:hAnsi="Calibri"/>
          <w:b/>
          <w:bCs/>
          <w:color w:val="2B2B2B"/>
          <w:sz w:val="28"/>
          <w:szCs w:val="28"/>
        </w:rPr>
        <w:t xml:space="preserve">Oklahoma Insurance Department</w:t>
      </w:r>
    </w:p>
    <w:p>
      <w:pPr>
        <w:spacing w:after="80" w:before="80" w:line="300"/>
        <w:jc w:val="left"/>
      </w:pPr>
      <w:r>
        <w:rPr>
          <w:rFonts w:ascii="Calibri" w:cs="Calibri" w:eastAsia="Calibri" w:hAnsi="Calibri"/>
          <w:b w:val="false"/>
          <w:bCs w:val="false"/>
          <w:i w:val="false"/>
          <w:iCs w:val="false"/>
          <w:color w:val="2B2B2B"/>
          <w:sz w:val="22"/>
          <w:szCs w:val="22"/>
        </w:rPr>
        <w:t xml:space="preserve">The Insurance Department administers the Oklahoma Home Service Contract Act, 36 O.S. § 6751 et seq., which regulates third-party structural and home-warranty products sold by 2-10 HBW, RWC, StrucSure, QBW, and similar providers. Complaints against the warranty provider — not the builder — go to the Insurance Department.</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Consumer assistance: </w:t>
      </w:r>
      <w:hyperlink w:history="1" r:id="rIdspjawkrsq2mlwfetsw2sf">
        <w:r>
          <w:rPr>
            <w:rFonts w:ascii="Calibri" w:cs="Calibri" w:eastAsia="Calibri" w:hAnsi="Calibri"/>
            <w:color w:val="1F3A68"/>
            <w:sz w:val="22"/>
            <w:szCs w:val="22"/>
            <w:u w:val="single"/>
          </w:rPr>
          <w:t xml:space="preserve">oid.ok.gov</w:t>
        </w:r>
      </w:hyperlink>
      <w:r>
        <w:rPr>
          <w:rFonts w:ascii="Calibri" w:cs="Calibri" w:eastAsia="Calibri" w:hAnsi="Calibri"/>
          <w:color w:val="2B2B2B"/>
          <w:sz w:val="22"/>
          <w:szCs w:val="22"/>
        </w:rPr>
        <w:t xml:space="preserve">.</w:t>
      </w:r>
    </w:p>
    <w:p>
      <w:pPr>
        <w:pStyle w:val="Heading2"/>
        <w:keepNext/>
        <w:spacing w:after="120" w:before="260"/>
      </w:pPr>
      <w:r>
        <w:rPr>
          <w:rFonts w:ascii="Calibri" w:cs="Calibri" w:eastAsia="Calibri" w:hAnsi="Calibri"/>
          <w:b/>
          <w:bCs/>
          <w:color w:val="2B2B2B"/>
          <w:sz w:val="28"/>
          <w:szCs w:val="28"/>
        </w:rPr>
        <w:t xml:space="preserve">Local building and code enforcement</w:t>
      </w:r>
    </w:p>
    <w:p>
      <w:pPr>
        <w:spacing w:after="80" w:before="80" w:line="300"/>
        <w:jc w:val="left"/>
      </w:pPr>
      <w:r>
        <w:rPr>
          <w:rFonts w:ascii="Calibri" w:cs="Calibri" w:eastAsia="Calibri" w:hAnsi="Calibri"/>
          <w:b w:val="false"/>
          <w:bCs w:val="false"/>
          <w:i w:val="false"/>
          <w:iCs w:val="false"/>
          <w:color w:val="2B2B2B"/>
          <w:sz w:val="22"/>
          <w:szCs w:val="22"/>
        </w:rPr>
        <w:t xml:space="preserve">Permits and inspections are administered at the municipal level under the International Residential Code with Oklahoma amendments adopted by the City of Oklahoma City, City of Tulsa, City of Norman, City of Edmond, City of Broken Arrow, and other home-rule cities. Most cities require local contractor registration distinct from CIB licensing. Code-violation complaints can trigger re-inspection, stop-work orders, or certificate-of-occupancy revocation. There is no statewide residential building code authority comparable to many other states; check city code-enforcement contacts directly.</w:t>
      </w:r>
    </w:p>
    <w:p>
      <w:pPr>
        <w:pStyle w:val="Heading2"/>
        <w:keepNext/>
        <w:spacing w:after="120" w:before="260"/>
      </w:pPr>
      <w:r>
        <w:rPr>
          <w:rFonts w:ascii="Calibri" w:cs="Calibri" w:eastAsia="Calibri" w:hAnsi="Calibri"/>
          <w:b/>
          <w:bCs/>
          <w:color w:val="2B2B2B"/>
          <w:sz w:val="28"/>
          <w:szCs w:val="28"/>
        </w:rPr>
        <w:t xml:space="preserve">Industry associations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Oklahoma State Home Builders Association: </w:t>
      </w:r>
      <w:hyperlink w:history="1" r:id="rIdwps3pj00p90xd1r0c5siz">
        <w:r>
          <w:rPr>
            <w:rFonts w:ascii="Calibri" w:cs="Calibri" w:eastAsia="Calibri" w:hAnsi="Calibri"/>
            <w:color w:val="1F3A68"/>
            <w:sz w:val="22"/>
            <w:szCs w:val="22"/>
            <w:u w:val="single"/>
          </w:rPr>
          <w:t xml:space="preserve">okhba.org</w:t>
        </w:r>
      </w:hyperlink>
      <w:r>
        <w:rPr>
          <w:rFonts w:ascii="Calibri" w:cs="Calibri" w:eastAsia="Calibri" w:hAnsi="Calibri"/>
          <w:color w:val="2B2B2B"/>
          <w:sz w:val="22"/>
          <w:szCs w:val="22"/>
        </w:rPr>
        <w:t xml:space="preserve">. Trade association; runs the voluntary Certified Professional Builder credential. Local affiliates operate in Oklahoma City, Tulsa, Stillwater, Lawton, Bartlesville, Enid, and elsewhere.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Better Business Bureau: </w:t>
      </w:r>
      <w:hyperlink w:history="1" r:id="rId5yhkmtlwlwn4v6kgwp2oy">
        <w:r>
          <w:rPr>
            <w:rFonts w:ascii="Calibri" w:cs="Calibri" w:eastAsia="Calibri" w:hAnsi="Calibri"/>
            <w:color w:val="1F3A68"/>
            <w:sz w:val="22"/>
            <w:szCs w:val="22"/>
            <w:u w:val="single"/>
          </w:rPr>
          <w:t xml:space="preserve">bbb.org/local/0975</w:t>
        </w:r>
      </w:hyperlink>
      <w:r>
        <w:rPr>
          <w:rFonts w:ascii="Calibri" w:cs="Calibri" w:eastAsia="Calibri" w:hAnsi="Calibri"/>
          <w:color w:val="2B2B2B"/>
          <w:sz w:val="22"/>
          <w:szCs w:val="22"/>
        </w:rPr>
        <w:t xml:space="preserve">. Non-binding complaint and mediation services. Public complaint record only.</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8. Court Jurisdiction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000"/>
        <w:gridCol w:w="2560"/>
      </w:tblGrid>
      <w:tr>
        <w:trPr>
          <w:tblHeader/>
        </w:trPr>
        <w:tc>
          <w:tcPr>
            <w:tcW w:type="dxa" w:w="24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Court</w:t>
            </w:r>
          </w:p>
        </w:tc>
        <w:tc>
          <w:tcPr>
            <w:tcW w:type="dxa" w:w="24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Monetary range</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Authority</w:t>
            </w:r>
          </w:p>
        </w:tc>
        <w:tc>
          <w:tcPr>
            <w:tcW w:type="dxa" w:w="25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Typical use</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Small Claims Division (within District Court)</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Up to $10,000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12 O.S. § 1751 et seq.</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Simple money disputes — earnest-money refunds, deposit returns, partial repair costs. Streamlined pleadings; counsel optional.</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District Court — general civil</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Over $10,000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Okla. Const. art. VII</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Most construction-defect litigation. Equitable remedies (rescission, specific performance, injunctive relief). Jury trial right preserved.</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Federal court (Northern, Eastern, Western Districts of Oklahoma)</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Diversity over $75,000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28 U.S.C. § 1332</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Diversity-of-citizenship cases — typically where the builder is a non-Oklahoma entity. Federal Rules of Civil Procedure apply.</w:t>
            </w:r>
          </w:p>
        </w:tc>
      </w:tr>
    </w:tbl>
    <w:p>
      <w:pPr>
        <w:pStyle w:val="Heading2"/>
        <w:keepNext/>
        <w:spacing w:after="120" w:before="260"/>
      </w:pPr>
      <w:r>
        <w:rPr>
          <w:rFonts w:ascii="Calibri" w:cs="Calibri" w:eastAsia="Calibri" w:hAnsi="Calibri"/>
          <w:b/>
          <w:bCs/>
          <w:color w:val="2B2B2B"/>
          <w:sz w:val="28"/>
          <w:szCs w:val="28"/>
        </w:rPr>
        <w:t xml:space="preserve">Mediation and arbitration</w:t>
      </w:r>
    </w:p>
    <w:p>
      <w:pPr>
        <w:spacing w:after="80" w:before="80" w:line="300"/>
        <w:jc w:val="left"/>
      </w:pPr>
      <w:r>
        <w:rPr>
          <w:rFonts w:ascii="Calibri" w:cs="Calibri" w:eastAsia="Calibri" w:hAnsi="Calibri"/>
          <w:b w:val="false"/>
          <w:bCs w:val="false"/>
          <w:i w:val="false"/>
          <w:iCs w:val="false"/>
          <w:color w:val="2B2B2B"/>
          <w:sz w:val="22"/>
          <w:szCs w:val="22"/>
        </w:rPr>
        <w:t xml:space="preserve">Many Oklahoma builder contracts require binding arbitration of construction-defect disputes. Third-party warranty products (2-10 HBW, RWC, StrucSure, QBW) typically incorporate the warranty company's arbitration program. Arbitration is enforceable under the Federal Arbitration Act and the Oklahoma Uniform Arbitration Act, 12 O.S. § 1851 et seq. Mediation is often required as a contractual prerequisite to litigation; even where not required, court-annexed mediation is widely available in Oklahoma County, Tulsa County, and most metropolitan venues.</w:t>
      </w:r>
    </w:p>
    <w:p>
      <w:pPr>
        <w:pStyle w:val="Heading2"/>
        <w:keepNext/>
        <w:spacing w:after="120" w:before="260"/>
      </w:pPr>
      <w:r>
        <w:rPr>
          <w:rFonts w:ascii="Calibri" w:cs="Calibri" w:eastAsia="Calibri" w:hAnsi="Calibri"/>
          <w:b/>
          <w:bCs/>
          <w:color w:val="2B2B2B"/>
          <w:sz w:val="28"/>
          <w:szCs w:val="28"/>
        </w:rPr>
        <w:t xml:space="preserve">Statutory County Court — Oklahoma does not have one</w:t>
      </w:r>
    </w:p>
    <w:p>
      <w:pPr>
        <w:spacing w:after="80" w:before="80" w:line="300"/>
        <w:jc w:val="left"/>
      </w:pPr>
      <w:r>
        <w:rPr>
          <w:rFonts w:ascii="Calibri" w:cs="Calibri" w:eastAsia="Calibri" w:hAnsi="Calibri"/>
          <w:b w:val="false"/>
          <w:bCs w:val="false"/>
          <w:i w:val="false"/>
          <w:iCs w:val="false"/>
          <w:color w:val="2B2B2B"/>
          <w:sz w:val="22"/>
          <w:szCs w:val="22"/>
        </w:rPr>
        <w:t xml:space="preserve">Unlike Texas, Oklahoma does not maintain a separate "county court at law" tier with elevated jurisdictional limits for construction cases. Jurisdiction is divided between Small Claims (up to $10,000) and District Court (general civil) only. Local divisional or specialty dockets within District Court may apply.</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9. Mechanic's and Materialmen's Liens</w:t>
      </w:r>
    </w:p>
    <w:p>
      <w:pPr>
        <w:spacing w:after="80" w:before="80" w:line="300"/>
        <w:jc w:val="left"/>
      </w:pPr>
      <w:r>
        <w:rPr>
          <w:rFonts w:ascii="Calibri" w:cs="Calibri" w:eastAsia="Calibri" w:hAnsi="Calibri"/>
          <w:b w:val="false"/>
          <w:bCs w:val="false"/>
          <w:i w:val="false"/>
          <w:iCs w:val="false"/>
          <w:color w:val="2B2B2B"/>
          <w:sz w:val="22"/>
          <w:szCs w:val="22"/>
        </w:rPr>
        <w:t xml:space="preserve">42 O.S. § 141 et seq. governs mechanic's and materialmen's liens. A lien attaches when labor or materials contribute to a permanent improvement of real property under a contract with the owner or the owner's authorized agent. The lien is a security interest in the property and can be foreclosed by judicial action.</w:t>
      </w:r>
    </w:p>
    <w:p>
      <w:pPr>
        <w:pStyle w:val="Heading2"/>
        <w:keepNext/>
        <w:spacing w:after="120" w:before="260"/>
      </w:pPr>
      <w:r>
        <w:rPr>
          <w:rFonts w:ascii="Calibri" w:cs="Calibri" w:eastAsia="Calibri" w:hAnsi="Calibri"/>
          <w:b/>
          <w:bCs/>
          <w:color w:val="2B2B2B"/>
          <w:sz w:val="28"/>
          <w:szCs w:val="28"/>
        </w:rPr>
        <w:t xml:space="preserve">Filing deadlines</w:t>
      </w:r>
    </w:p>
    <w:p>
      <w:pPr>
        <w:pStyle w:val="ListParagraph"/>
        <w:numPr>
          <w:ilvl w:val="0"/>
          <w:numId w:val="2"/>
        </w:numPr>
        <w:spacing w:after="40" w:before="40" w:line="280"/>
      </w:pPr>
      <w:r>
        <w:rPr>
          <w:rFonts w:ascii="Calibri" w:cs="Calibri" w:eastAsia="Calibri" w:hAnsi="Calibri"/>
          <w:color w:val="2B2B2B"/>
          <w:sz w:val="22"/>
          <w:szCs w:val="22"/>
        </w:rPr>
        <w:t xml:space="preserve">Original contractor: lien statement must be filed within 4 months of last work performed or materials furnished (42 O.S. § 142).</w:t>
      </w:r>
    </w:p>
    <w:p>
      <w:pPr>
        <w:pStyle w:val="ListParagraph"/>
        <w:numPr>
          <w:ilvl w:val="0"/>
          <w:numId w:val="2"/>
        </w:numPr>
        <w:spacing w:after="40" w:before="40" w:line="280"/>
      </w:pPr>
      <w:r>
        <w:rPr>
          <w:rFonts w:ascii="Calibri" w:cs="Calibri" w:eastAsia="Calibri" w:hAnsi="Calibri"/>
          <w:color w:val="2B2B2B"/>
          <w:sz w:val="22"/>
          <w:szCs w:val="22"/>
        </w:rPr>
        <w:t xml:space="preserve">Subcontractor or materialman: lien statement must be filed within 90 days of last work or materials.</w:t>
      </w:r>
    </w:p>
    <w:p>
      <w:pPr>
        <w:pStyle w:val="ListParagraph"/>
        <w:numPr>
          <w:ilvl w:val="0"/>
          <w:numId w:val="2"/>
        </w:numPr>
        <w:spacing w:after="40" w:before="40" w:line="280"/>
      </w:pPr>
      <w:r>
        <w:rPr>
          <w:rFonts w:ascii="Calibri" w:cs="Calibri" w:eastAsia="Calibri" w:hAnsi="Calibri"/>
          <w:color w:val="2B2B2B"/>
          <w:sz w:val="22"/>
          <w:szCs w:val="22"/>
        </w:rPr>
        <w:t xml:space="preserve">Foreclosure action: must be filed within 1 year of recording the lien (42 O.S. § 172).</w:t>
      </w:r>
    </w:p>
    <w:p>
      <w:pPr>
        <w:pStyle w:val="Heading2"/>
        <w:keepNext/>
        <w:spacing w:after="120" w:before="260"/>
      </w:pPr>
      <w:r>
        <w:rPr>
          <w:rFonts w:ascii="Calibri" w:cs="Calibri" w:eastAsia="Calibri" w:hAnsi="Calibri"/>
          <w:b/>
          <w:bCs/>
          <w:color w:val="2B2B2B"/>
          <w:sz w:val="28"/>
          <w:szCs w:val="28"/>
        </w:rPr>
        <w:t xml:space="preserve">Owner-occupied residential pre-lien notice — 42 O.S. § 142.6</w:t>
      </w:r>
    </w:p>
    <w:p>
      <w:pPr>
        <w:spacing w:after="80" w:before="80" w:line="300"/>
        <w:jc w:val="left"/>
      </w:pPr>
      <w:r>
        <w:rPr>
          <w:rFonts w:ascii="Calibri" w:cs="Calibri" w:eastAsia="Calibri" w:hAnsi="Calibri"/>
          <w:b w:val="false"/>
          <w:bCs w:val="false"/>
          <w:i w:val="false"/>
          <w:iCs w:val="false"/>
          <w:color w:val="2B2B2B"/>
          <w:sz w:val="22"/>
          <w:szCs w:val="22"/>
        </w:rPr>
        <w:t xml:space="preserve">On owner-occupied residential property, the lien claimant must generally give the owner a written pre-lien notice within 75 days after the last day labor or materials were furnished. Failure to give pre-lien notice when required defeats the lien. The statute's exemption rules — including any dollar-amount threshold and the treatment of housing-development construction projects — depend on the project type, claim size, and the version of § 142.6 in effect. Counsel should consult the current version of § 142.6 (and the related § 143.1 provisions) before relying on the threshold to validate or defeat a lien. Homeowners can use this defense affirmatively to invalidate lien claims by contractors who skipped the notice step.</w:t>
      </w:r>
    </w:p>
    <w:p>
      <w:pPr>
        <w:pStyle w:val="Heading2"/>
        <w:keepNext/>
        <w:spacing w:after="120" w:before="260"/>
      </w:pPr>
      <w:r>
        <w:rPr>
          <w:rFonts w:ascii="Calibri" w:cs="Calibri" w:eastAsia="Calibri" w:hAnsi="Calibri"/>
          <w:b/>
          <w:bCs/>
          <w:color w:val="2B2B2B"/>
          <w:sz w:val="28"/>
          <w:szCs w:val="28"/>
        </w:rPr>
        <w:t xml:space="preserve">Bonding off and discharge</w:t>
      </w:r>
    </w:p>
    <w:p>
      <w:pPr>
        <w:spacing w:after="80" w:before="80" w:line="300"/>
        <w:jc w:val="left"/>
      </w:pPr>
      <w:r>
        <w:rPr>
          <w:rFonts w:ascii="Calibri" w:cs="Calibri" w:eastAsia="Calibri" w:hAnsi="Calibri"/>
          <w:b w:val="false"/>
          <w:bCs w:val="false"/>
          <w:i w:val="false"/>
          <w:iCs w:val="false"/>
          <w:color w:val="2B2B2B"/>
          <w:sz w:val="22"/>
          <w:szCs w:val="22"/>
        </w:rPr>
        <w:t xml:space="preserve">A lien can be bonded off under 42 O.S. § 147.1 by depositing a bond equal to 125% of the lien amount. The property is freed from the lien encumbrance and the contractor's claim transfers to the bond. Homeowners selling or refinancing during a lien dispute often bond off to clear title at closing.</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10. Action Checklists</w:t>
      </w:r>
    </w:p>
    <w:p>
      <w:pPr>
        <w:pStyle w:val="Heading2"/>
        <w:keepNext/>
        <w:spacing w:after="120" w:before="260"/>
      </w:pPr>
      <w:r>
        <w:rPr>
          <w:rFonts w:ascii="Calibri" w:cs="Calibri" w:eastAsia="Calibri" w:hAnsi="Calibri"/>
          <w:b/>
          <w:bCs/>
          <w:color w:val="2B2B2B"/>
          <w:sz w:val="28"/>
          <w:szCs w:val="28"/>
        </w:rPr>
        <w:t xml:space="preserve">If a homeowner discovers a defect</w:t>
      </w:r>
    </w:p>
    <w:p>
      <w:pPr>
        <w:pStyle w:val="ListParagraph"/>
        <w:numPr>
          <w:ilvl w:val="0"/>
          <w:numId w:val="3"/>
        </w:numPr>
        <w:spacing w:after="60" w:before="60" w:line="280"/>
      </w:pPr>
      <w:r>
        <w:rPr>
          <w:rFonts w:ascii="Calibri" w:cs="Calibri" w:eastAsia="Calibri" w:hAnsi="Calibri"/>
          <w:color w:val="2B2B2B"/>
          <w:sz w:val="22"/>
          <w:szCs w:val="22"/>
        </w:rPr>
        <w:t xml:space="preserve">Document everything immediately. Photograph the defect from multiple angles. Note dates and weather conditions if relevant (water intrusion, foundation movement). Keep a written log of every conversation with the builder and every event.</w:t>
      </w:r>
    </w:p>
    <w:p>
      <w:pPr>
        <w:pStyle w:val="ListParagraph"/>
        <w:numPr>
          <w:ilvl w:val="0"/>
          <w:numId w:val="3"/>
        </w:numPr>
        <w:spacing w:after="60" w:before="60" w:line="280"/>
      </w:pPr>
      <w:r>
        <w:rPr>
          <w:rFonts w:ascii="Calibri" w:cs="Calibri" w:eastAsia="Calibri" w:hAnsi="Calibri"/>
          <w:color w:val="2B2B2B"/>
          <w:sz w:val="22"/>
          <w:szCs w:val="22"/>
        </w:rPr>
        <w:t xml:space="preserve">Read the construction contract and any limited-warranty book. Identify whether the contract contains a § 765.6 notice-and-cure clause; whether a third-party warranty product (2-10 HBW, RWC, StrucSure, QBW) is in force; and whether the contract requires arbitration or mediation.</w:t>
      </w:r>
    </w:p>
    <w:p>
      <w:pPr>
        <w:pStyle w:val="ListParagraph"/>
        <w:numPr>
          <w:ilvl w:val="0"/>
          <w:numId w:val="3"/>
        </w:numPr>
        <w:spacing w:after="60" w:before="60" w:line="280"/>
      </w:pPr>
      <w:r>
        <w:rPr>
          <w:rFonts w:ascii="Calibri" w:cs="Calibri" w:eastAsia="Calibri" w:hAnsi="Calibri"/>
          <w:color w:val="2B2B2B"/>
          <w:sz w:val="22"/>
          <w:szCs w:val="22"/>
        </w:rPr>
        <w:t xml:space="preserve">Send written notice of the defect to the builder by a method that creates a delivery record — certified mail return receipt requested or a courier with signed confirmation. Describe each defect with specificity. Keep the green card or signed delivery receipt with the project file.</w:t>
      </w:r>
    </w:p>
    <w:p>
      <w:pPr>
        <w:pStyle w:val="ListParagraph"/>
        <w:numPr>
          <w:ilvl w:val="0"/>
          <w:numId w:val="3"/>
        </w:numPr>
        <w:spacing w:after="60" w:before="60" w:line="280"/>
      </w:pPr>
      <w:r>
        <w:rPr>
          <w:rFonts w:ascii="Calibri" w:cs="Calibri" w:eastAsia="Calibri" w:hAnsi="Calibri"/>
          <w:color w:val="2B2B2B"/>
          <w:sz w:val="22"/>
          <w:szCs w:val="22"/>
        </w:rPr>
        <w:t xml:space="preserve">If the contract contains a § 765.6 notice-and-cure clause, allow the inspection opportunity and the 30-day written-response window before filing suit.</w:t>
      </w:r>
    </w:p>
    <w:p>
      <w:pPr>
        <w:pStyle w:val="ListParagraph"/>
        <w:numPr>
          <w:ilvl w:val="0"/>
          <w:numId w:val="3"/>
        </w:numPr>
        <w:spacing w:after="60" w:before="60" w:line="280"/>
      </w:pPr>
      <w:r>
        <w:rPr>
          <w:rFonts w:ascii="Calibri" w:cs="Calibri" w:eastAsia="Calibri" w:hAnsi="Calibri"/>
          <w:color w:val="2B2B2B"/>
          <w:sz w:val="22"/>
          <w:szCs w:val="22"/>
        </w:rPr>
        <w:t xml:space="preserve">If a third-party warranty product applies, file the warranty claim with the warranty provider in addition to (not instead of) the builder. Read the warranty book's dispute-resolution procedure carefully.</w:t>
      </w:r>
    </w:p>
    <w:p>
      <w:pPr>
        <w:pStyle w:val="ListParagraph"/>
        <w:numPr>
          <w:ilvl w:val="0"/>
          <w:numId w:val="3"/>
        </w:numPr>
        <w:spacing w:after="60" w:before="60" w:line="280"/>
      </w:pPr>
      <w:r>
        <w:rPr>
          <w:rFonts w:ascii="Calibri" w:cs="Calibri" w:eastAsia="Calibri" w:hAnsi="Calibri"/>
          <w:color w:val="2B2B2B"/>
          <w:sz w:val="22"/>
          <w:szCs w:val="22"/>
        </w:rPr>
        <w:t xml:space="preserve">Consider an independent third-party inspection by an Oklahoma licensed home inspector, engineer, or qualified expert in the relevant trade. The inspection report is often the most valuable single document at intake.</w:t>
      </w:r>
    </w:p>
    <w:p>
      <w:pPr>
        <w:pStyle w:val="ListParagraph"/>
        <w:numPr>
          <w:ilvl w:val="0"/>
          <w:numId w:val="3"/>
        </w:numPr>
        <w:spacing w:after="60" w:before="60" w:line="280"/>
      </w:pPr>
      <w:r>
        <w:rPr>
          <w:rFonts w:ascii="Calibri" w:cs="Calibri" w:eastAsia="Calibri" w:hAnsi="Calibri"/>
          <w:color w:val="2B2B2B"/>
          <w:sz w:val="22"/>
          <w:szCs w:val="22"/>
        </w:rPr>
        <w:t xml:space="preserve">Calculate the limitations clocks. The 2-year and 3-year clocks expire fast on negligence and statutory claims. The 10-year repose under 12 O.S. § 109 is the absolute outer ceiling — no equitable doctrine extends it.</w:t>
      </w:r>
    </w:p>
    <w:p>
      <w:pPr>
        <w:pStyle w:val="ListParagraph"/>
        <w:numPr>
          <w:ilvl w:val="0"/>
          <w:numId w:val="3"/>
        </w:numPr>
        <w:spacing w:after="60" w:before="60" w:line="280"/>
      </w:pPr>
      <w:r>
        <w:rPr>
          <w:rFonts w:ascii="Calibri" w:cs="Calibri" w:eastAsia="Calibri" w:hAnsi="Calibri"/>
          <w:color w:val="2B2B2B"/>
          <w:sz w:val="22"/>
          <w:szCs w:val="22"/>
        </w:rPr>
        <w:t xml:space="preserve">Consult an Oklahoma construction-defect attorney before the earliest applicable limitations period runs. Many attorneys offer free or low-cost intake consultations. Bring the contract, the warranty book, all notices, the inspection report, photos, and the timeline log.</w:t>
      </w:r>
    </w:p>
    <w:p>
      <w:pPr>
        <w:pStyle w:val="Heading2"/>
        <w:keepNext/>
        <w:spacing w:after="120" w:before="260"/>
      </w:pPr>
      <w:r>
        <w:rPr>
          <w:rFonts w:ascii="Calibri" w:cs="Calibri" w:eastAsia="Calibri" w:hAnsi="Calibri"/>
          <w:b/>
          <w:bCs/>
          <w:color w:val="2B2B2B"/>
          <w:sz w:val="28"/>
          <w:szCs w:val="28"/>
        </w:rPr>
        <w:t xml:space="preserve">If a homeowner is considering filing a complaint or lawsuit</w:t>
      </w:r>
    </w:p>
    <w:p>
      <w:pPr>
        <w:pStyle w:val="ListParagraph"/>
        <w:numPr>
          <w:ilvl w:val="0"/>
          <w:numId w:val="3"/>
        </w:numPr>
        <w:spacing w:after="60" w:before="60" w:line="280"/>
      </w:pPr>
      <w:r>
        <w:rPr>
          <w:rFonts w:ascii="Calibri" w:cs="Calibri" w:eastAsia="Calibri" w:hAnsi="Calibri"/>
          <w:color w:val="2B2B2B"/>
          <w:sz w:val="22"/>
          <w:szCs w:val="22"/>
        </w:rPr>
        <w:t xml:space="preserve">Confirm the proper forum — Small Claims (≤ $10,000), District Court, or arbitration per the contract.</w:t>
      </w:r>
    </w:p>
    <w:p>
      <w:pPr>
        <w:pStyle w:val="ListParagraph"/>
        <w:numPr>
          <w:ilvl w:val="0"/>
          <w:numId w:val="3"/>
        </w:numPr>
        <w:spacing w:after="60" w:before="60" w:line="280"/>
      </w:pPr>
      <w:r>
        <w:rPr>
          <w:rFonts w:ascii="Calibri" w:cs="Calibri" w:eastAsia="Calibri" w:hAnsi="Calibri"/>
          <w:color w:val="2B2B2B"/>
          <w:sz w:val="22"/>
          <w:szCs w:val="22"/>
        </w:rPr>
        <w:t xml:space="preserve">File any required pre-suit notice that the contract dictates under § 765.6, or any combined OCPA / contract demand letter.</w:t>
      </w:r>
    </w:p>
    <w:p>
      <w:pPr>
        <w:pStyle w:val="ListParagraph"/>
        <w:numPr>
          <w:ilvl w:val="0"/>
          <w:numId w:val="3"/>
        </w:numPr>
        <w:spacing w:after="60" w:before="60" w:line="280"/>
      </w:pPr>
      <w:r>
        <w:rPr>
          <w:rFonts w:ascii="Calibri" w:cs="Calibri" w:eastAsia="Calibri" w:hAnsi="Calibri"/>
          <w:color w:val="2B2B2B"/>
          <w:sz w:val="22"/>
          <w:szCs w:val="22"/>
        </w:rPr>
        <w:t xml:space="preserve">If the conduct involves a CIB-licensed trade (plumbing, HVAC, electrical, roofing, home inspection), file a CIB complaint in parallel.</w:t>
      </w:r>
    </w:p>
    <w:p>
      <w:pPr>
        <w:pStyle w:val="ListParagraph"/>
        <w:numPr>
          <w:ilvl w:val="0"/>
          <w:numId w:val="3"/>
        </w:numPr>
        <w:spacing w:after="60" w:before="60" w:line="280"/>
      </w:pPr>
      <w:r>
        <w:rPr>
          <w:rFonts w:ascii="Calibri" w:cs="Calibri" w:eastAsia="Calibri" w:hAnsi="Calibri"/>
          <w:color w:val="2B2B2B"/>
          <w:sz w:val="22"/>
          <w:szCs w:val="22"/>
        </w:rPr>
        <w:t xml:space="preserve">If the conduct involves deceptive trade practices, file an Attorney General Consumer Protection complaint in parallel.</w:t>
      </w:r>
    </w:p>
    <w:p>
      <w:pPr>
        <w:pStyle w:val="ListParagraph"/>
        <w:numPr>
          <w:ilvl w:val="0"/>
          <w:numId w:val="3"/>
        </w:numPr>
        <w:spacing w:after="60" w:before="60" w:line="280"/>
      </w:pPr>
      <w:r>
        <w:rPr>
          <w:rFonts w:ascii="Calibri" w:cs="Calibri" w:eastAsia="Calibri" w:hAnsi="Calibri"/>
          <w:color w:val="2B2B2B"/>
          <w:sz w:val="22"/>
          <w:szCs w:val="22"/>
        </w:rPr>
        <w:t xml:space="preserve">Preserve documents and physical evidence. Do not destroy or repair anything material to the dispute without first notifying the builder and any warranty provider.</w:t>
      </w:r>
    </w:p>
    <w:p>
      <w:pPr>
        <w:pStyle w:val="ListParagraph"/>
        <w:numPr>
          <w:ilvl w:val="0"/>
          <w:numId w:val="3"/>
        </w:numPr>
        <w:spacing w:after="60" w:before="60" w:line="280"/>
      </w:pPr>
      <w:r>
        <w:rPr>
          <w:rFonts w:ascii="Calibri" w:cs="Calibri" w:eastAsia="Calibri" w:hAnsi="Calibri"/>
          <w:color w:val="2B2B2B"/>
          <w:sz w:val="22"/>
          <w:szCs w:val="22"/>
        </w:rPr>
        <w:t xml:space="preserve">Track all out-of-pocket costs and consequential damages — temporary lodging, repair quotes, expert fees, inspection costs, and lost personal property.</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11. Authority Index</w:t>
      </w:r>
    </w:p>
    <w:p>
      <w:pPr>
        <w:pStyle w:val="Heading2"/>
        <w:keepNext/>
        <w:spacing w:after="120" w:before="260"/>
      </w:pPr>
      <w:r>
        <w:rPr>
          <w:rFonts w:ascii="Calibri" w:cs="Calibri" w:eastAsia="Calibri" w:hAnsi="Calibri"/>
          <w:b/>
          <w:bCs/>
          <w:color w:val="2B2B2B"/>
          <w:sz w:val="28"/>
          <w:szCs w:val="28"/>
        </w:rPr>
        <w:t xml:space="preserve">Statutes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12 O.S. § 95 — Limitations of other actions: </w:t>
      </w:r>
      <w:hyperlink w:history="1" r:id="rId9qnvuy7ljd6mlrk5wxa3k">
        <w:r>
          <w:rPr>
            <w:rFonts w:ascii="Calibri" w:cs="Calibri" w:eastAsia="Calibri" w:hAnsi="Calibri"/>
            <w:color w:val="1F3A68"/>
            <w:sz w:val="22"/>
            <w:szCs w:val="22"/>
            <w:u w:val="single"/>
          </w:rPr>
          <w:t xml:space="preserve">Justia</w:t>
        </w:r>
      </w:hyperlink>
      <w:r>
        <w:rPr>
          <w:rFonts w:ascii="Calibri" w:cs="Calibri" w:eastAsia="Calibri" w:hAnsi="Calibri"/>
          <w:color w:val="2B2B2B"/>
          <w:sz w:val="22"/>
          <w:szCs w:val="22"/>
        </w:rPr>
        <w:t xml:space="preserve"> / </w:t>
      </w:r>
      <w:hyperlink w:history="1" r:id="rIdi5dkbmfnfv1vpyz67udsg">
        <w:r>
          <w:rPr>
            <w:rFonts w:ascii="Calibri" w:cs="Calibri" w:eastAsia="Calibri" w:hAnsi="Calibri"/>
            <w:color w:val="1F3A68"/>
            <w:sz w:val="22"/>
            <w:szCs w:val="22"/>
            <w:u w:val="single"/>
          </w:rPr>
          <w:t xml:space="preserve">OSCN</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12 O.S. § 109 — Statute of repose for improvements to real property: </w:t>
      </w:r>
      <w:hyperlink w:history="1" r:id="rIdgyl6lbzkzsfcagu6o31hz">
        <w:r>
          <w:rPr>
            <w:rFonts w:ascii="Calibri" w:cs="Calibri" w:eastAsia="Calibri" w:hAnsi="Calibri"/>
            <w:color w:val="1F3A68"/>
            <w:sz w:val="22"/>
            <w:szCs w:val="22"/>
            <w:u w:val="single"/>
          </w:rPr>
          <w:t xml:space="preserve">Justia</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12 O.S. § 1751 et seq. — Small Claims Procedure: </w:t>
      </w:r>
      <w:hyperlink w:history="1" r:id="rIdnfu5zcodnxejkpxx6vqba">
        <w:r>
          <w:rPr>
            <w:rFonts w:ascii="Calibri" w:cs="Calibri" w:eastAsia="Calibri" w:hAnsi="Calibri"/>
            <w:color w:val="1F3A68"/>
            <w:sz w:val="22"/>
            <w:szCs w:val="22"/>
            <w:u w:val="single"/>
          </w:rPr>
          <w:t xml:space="preserve">Justia § 1751</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15 O.S. § 751 et seq. — Oklahoma Consumer Protection Act: </w:t>
      </w:r>
      <w:hyperlink w:history="1" r:id="rIdel7l39utfvcbhs23tlodr">
        <w:r>
          <w:rPr>
            <w:rFonts w:ascii="Calibri" w:cs="Calibri" w:eastAsia="Calibri" w:hAnsi="Calibri"/>
            <w:color w:val="1F3A68"/>
            <w:sz w:val="22"/>
            <w:szCs w:val="22"/>
            <w:u w:val="single"/>
          </w:rPr>
          <w:t xml:space="preserve">Justia § 761.1</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15 O.S. § 765.1 et seq. — Home Repair Fraud Act (excludes original construction under § 765.2): </w:t>
      </w:r>
      <w:hyperlink w:history="1" r:id="rIdky0i1dclfyo3b0zv_dj7e">
        <w:r>
          <w:rPr>
            <w:rFonts w:ascii="Calibri" w:cs="Calibri" w:eastAsia="Calibri" w:hAnsi="Calibri"/>
            <w:color w:val="1F3A68"/>
            <w:sz w:val="22"/>
            <w:szCs w:val="22"/>
            <w:u w:val="single"/>
          </w:rPr>
          <w:t xml:space="preserve">Justia § 765.2</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15 O.S. § 765.6 — Construction contracts may include notice-and-offer-to-repair provisions: </w:t>
      </w:r>
      <w:hyperlink w:history="1" r:id="rIde_nhmoplgqxbxaa-nx_e3">
        <w:r>
          <w:rPr>
            <w:rFonts w:ascii="Calibri" w:cs="Calibri" w:eastAsia="Calibri" w:hAnsi="Calibri"/>
            <w:color w:val="1F3A68"/>
            <w:sz w:val="22"/>
            <w:szCs w:val="22"/>
            <w:u w:val="single"/>
          </w:rPr>
          <w:t xml:space="preserve">Justia</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36 O.S. § 6751 et seq. — Oklahoma Home Service Contract Act: </w:t>
      </w:r>
      <w:hyperlink w:history="1" r:id="rId01ohiq6uxlzsq_gyysje5">
        <w:r>
          <w:rPr>
            <w:rFonts w:ascii="Calibri" w:cs="Calibri" w:eastAsia="Calibri" w:hAnsi="Calibri"/>
            <w:color w:val="1F3A68"/>
            <w:sz w:val="22"/>
            <w:szCs w:val="22"/>
            <w:u w:val="single"/>
          </w:rPr>
          <w:t xml:space="preserve">Justia § 6751</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42 O.S. § 141 et seq. — Mechanic's and Materialmen's Liens; § 142.6 pre-lien notice: </w:t>
      </w:r>
      <w:hyperlink w:history="1" r:id="rIdy1zkvxvkez_k-rx7duwse">
        <w:r>
          <w:rPr>
            <w:rFonts w:ascii="Calibri" w:cs="Calibri" w:eastAsia="Calibri" w:hAnsi="Calibri"/>
            <w:color w:val="1F3A68"/>
            <w:sz w:val="22"/>
            <w:szCs w:val="22"/>
            <w:u w:val="single"/>
          </w:rPr>
          <w:t xml:space="preserve">Justia § 142.6</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59 O.S. § 1000.1 et seq. — Construction Industries Board: </w:t>
      </w:r>
      <w:hyperlink w:history="1" r:id="rIdyhbahx9ppe8_zhyabpjfl">
        <w:r>
          <w:rPr>
            <w:rFonts w:ascii="Calibri" w:cs="Calibri" w:eastAsia="Calibri" w:hAnsi="Calibri"/>
            <w:color w:val="1F3A68"/>
            <w:sz w:val="22"/>
            <w:szCs w:val="22"/>
            <w:u w:val="single"/>
          </w:rPr>
          <w:t xml:space="preserve">Justia § 1000.2</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59 O.S. § 1151.1 et seq. — Oklahoma Roofing Contractor Registration Act: </w:t>
      </w:r>
      <w:hyperlink w:history="1" r:id="rId9y3arvlb5wxoo3odugjoj">
        <w:r>
          <w:rPr>
            <w:rFonts w:ascii="Calibri" w:cs="Calibri" w:eastAsia="Calibri" w:hAnsi="Calibri"/>
            <w:color w:val="1F3A68"/>
            <w:sz w:val="22"/>
            <w:szCs w:val="22"/>
            <w:u w:val="single"/>
          </w:rPr>
          <w:t xml:space="preserve">Justia § 1151.5</w:t>
        </w:r>
      </w:hyperlink>
      <w:r>
        <w:rPr>
          <w:rFonts w:ascii="Calibri" w:cs="Calibri" w:eastAsia="Calibri" w:hAnsi="Calibri"/>
          <w:color w:val="2B2B2B"/>
          <w:sz w:val="22"/>
          <w:szCs w:val="22"/>
        </w:rPr>
        <w:t xml:space="preserve">.</w:t>
      </w:r>
    </w:p>
    <w:p>
      <w:pPr>
        <w:pStyle w:val="Heading2"/>
        <w:keepNext/>
        <w:spacing w:after="120" w:before="260"/>
      </w:pPr>
      <w:r>
        <w:rPr>
          <w:rFonts w:ascii="Calibri" w:cs="Calibri" w:eastAsia="Calibri" w:hAnsi="Calibri"/>
          <w:b/>
          <w:bCs/>
          <w:color w:val="2B2B2B"/>
          <w:sz w:val="28"/>
          <w:szCs w:val="28"/>
        </w:rPr>
        <w:t xml:space="preserve">Case law</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Jeanguneat v. Jackie Hames Const. Co.</w:t>
      </w:r>
      <w:r>
        <w:rPr>
          <w:rFonts w:ascii="Calibri" w:cs="Calibri" w:eastAsia="Calibri" w:hAnsi="Calibri"/>
          <w:color w:val="2B2B2B"/>
          <w:sz w:val="22"/>
          <w:szCs w:val="22"/>
        </w:rPr>
        <w:t xml:space="preserve">, 1978 OK 17, 576 P.2d 761 (Okla. 1978): </w:t>
      </w:r>
      <w:hyperlink w:history="1" r:id="rIdczhaipb-dszvxfxy0nkhg">
        <w:r>
          <w:rPr>
            <w:rFonts w:ascii="Calibri" w:cs="Calibri" w:eastAsia="Calibri" w:hAnsi="Calibri"/>
            <w:color w:val="1F3A68"/>
            <w:sz w:val="22"/>
            <w:szCs w:val="22"/>
            <w:u w:val="single"/>
          </w:rPr>
          <w:t xml:space="preserve">Justia</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Bridges v. Ferrell</w:t>
      </w:r>
      <w:r>
        <w:rPr>
          <w:rFonts w:ascii="Calibri" w:cs="Calibri" w:eastAsia="Calibri" w:hAnsi="Calibri"/>
          <w:color w:val="2B2B2B"/>
          <w:sz w:val="22"/>
          <w:szCs w:val="22"/>
        </w:rPr>
        <w:t xml:space="preserve">, 1984 OK CIV APP 41, 685 P.2d 409 (Okla. Civ. App. 1984): </w:t>
      </w:r>
      <w:hyperlink w:history="1" r:id="rIdhxrb3lpe_uvkmhzhkmc13">
        <w:r>
          <w:rPr>
            <w:rFonts w:ascii="Calibri" w:cs="Calibri" w:eastAsia="Calibri" w:hAnsi="Calibri"/>
            <w:color w:val="1F3A68"/>
            <w:sz w:val="22"/>
            <w:szCs w:val="22"/>
            <w:u w:val="single"/>
          </w:rPr>
          <w:t xml:space="preserve">Justia</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Patterson v. Beall</w:t>
      </w:r>
      <w:r>
        <w:rPr>
          <w:rFonts w:ascii="Calibri" w:cs="Calibri" w:eastAsia="Calibri" w:hAnsi="Calibri"/>
          <w:color w:val="2B2B2B"/>
          <w:sz w:val="22"/>
          <w:szCs w:val="22"/>
        </w:rPr>
        <w:t xml:space="preserve">, 2000 OK 92, 19 P.3d 839 (Okla. 2000) — OCPA viability under the Small Claims Procedure Act: </w:t>
      </w:r>
      <w:hyperlink w:history="1" r:id="rIdykkscpxcoc8hqoduiozzc">
        <w:r>
          <w:rPr>
            <w:rFonts w:ascii="Calibri" w:cs="Calibri" w:eastAsia="Calibri" w:hAnsi="Calibri"/>
            <w:color w:val="1F3A68"/>
            <w:sz w:val="22"/>
            <w:szCs w:val="22"/>
            <w:u w:val="single"/>
          </w:rPr>
          <w:t xml:space="preserve">OSCN</w:t>
        </w:r>
      </w:hyperlink>
      <w:r>
        <w:rPr>
          <w:rFonts w:ascii="Calibri" w:cs="Calibri" w:eastAsia="Calibri" w:hAnsi="Calibri"/>
          <w:color w:val="2B2B2B"/>
          <w:sz w:val="22"/>
          <w:szCs w:val="22"/>
        </w:rPr>
        <w:t xml:space="preserve"> / </w:t>
      </w:r>
      <w:hyperlink w:history="1" r:id="rIdaduwslkkig0dyaberllsc">
        <w:r>
          <w:rPr>
            <w:rFonts w:ascii="Calibri" w:cs="Calibri" w:eastAsia="Calibri" w:hAnsi="Calibri"/>
            <w:color w:val="1F3A68"/>
            <w:sz w:val="22"/>
            <w:szCs w:val="22"/>
            <w:u w:val="single"/>
          </w:rPr>
          <w:t xml:space="preserve">Justia</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McCool v. Hoover Equipment Co.</w:t>
      </w:r>
      <w:r>
        <w:rPr>
          <w:rFonts w:ascii="Calibri" w:cs="Calibri" w:eastAsia="Calibri" w:hAnsi="Calibri"/>
          <w:color w:val="2B2B2B"/>
          <w:sz w:val="22"/>
          <w:szCs w:val="22"/>
        </w:rPr>
        <w:t xml:space="preserve">, 1965 OK 138, 415 P.2d 954 — earlier Oklahoma implied-warranty authority cited in support of Jeanguneat.</w:t>
      </w:r>
    </w:p>
    <w:p>
      <w:pPr>
        <w:pStyle w:val="Heading2"/>
        <w:keepNext/>
        <w:spacing w:after="120" w:before="260"/>
      </w:pPr>
      <w:r>
        <w:rPr>
          <w:rFonts w:ascii="Calibri" w:cs="Calibri" w:eastAsia="Calibri" w:hAnsi="Calibri"/>
          <w:b/>
          <w:bCs/>
          <w:color w:val="2B2B2B"/>
          <w:sz w:val="28"/>
          <w:szCs w:val="28"/>
        </w:rPr>
        <w:t xml:space="preserve">Agencies and resources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Oklahoma Attorney General — Consumer Protection: </w:t>
      </w:r>
      <w:hyperlink w:history="1" r:id="rIdvldgze5oghh5hsg6-pphx">
        <w:r>
          <w:rPr>
            <w:rFonts w:ascii="Calibri" w:cs="Calibri" w:eastAsia="Calibri" w:hAnsi="Calibri"/>
            <w:color w:val="1F3A68"/>
            <w:sz w:val="22"/>
            <w:szCs w:val="22"/>
            <w:u w:val="single"/>
          </w:rPr>
          <w:t xml:space="preserve">oklahoma.gov/oag/complaints</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Construction Industries Board: </w:t>
      </w:r>
      <w:hyperlink w:history="1" r:id="rIdkksy5wgxyd-xq_sbhccln">
        <w:r>
          <w:rPr>
            <w:rFonts w:ascii="Calibri" w:cs="Calibri" w:eastAsia="Calibri" w:hAnsi="Calibri"/>
            <w:color w:val="1F3A68"/>
            <w:sz w:val="22"/>
            <w:szCs w:val="22"/>
            <w:u w:val="single"/>
          </w:rPr>
          <w:t xml:space="preserve">oklahoma.gov/cib</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Oklahoma Insurance Department: </w:t>
      </w:r>
      <w:hyperlink w:history="1" r:id="rIdp1sh4tmsyk9gbfqudkiyu">
        <w:r>
          <w:rPr>
            <w:rFonts w:ascii="Calibri" w:cs="Calibri" w:eastAsia="Calibri" w:hAnsi="Calibri"/>
            <w:color w:val="1F3A68"/>
            <w:sz w:val="22"/>
            <w:szCs w:val="22"/>
            <w:u w:val="single"/>
          </w:rPr>
          <w:t xml:space="preserve">oid.ok.gov</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Oklahoma State Home Builders Association: </w:t>
      </w:r>
      <w:hyperlink w:history="1" r:id="rId2k8grofkh5rnrpcjvicxi">
        <w:r>
          <w:rPr>
            <w:rFonts w:ascii="Calibri" w:cs="Calibri" w:eastAsia="Calibri" w:hAnsi="Calibri"/>
            <w:color w:val="1F3A68"/>
            <w:sz w:val="22"/>
            <w:szCs w:val="22"/>
            <w:u w:val="single"/>
          </w:rPr>
          <w:t xml:space="preserve">okhba.org</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Oklahoma State Courts Network (OSCN — statutes &amp; case law): </w:t>
      </w:r>
      <w:hyperlink w:history="1" r:id="rIdesbo6hfviuxjbdqs-7tji">
        <w:r>
          <w:rPr>
            <w:rFonts w:ascii="Calibri" w:cs="Calibri" w:eastAsia="Calibri" w:hAnsi="Calibri"/>
            <w:color w:val="1F3A68"/>
            <w:sz w:val="22"/>
            <w:szCs w:val="22"/>
            <w:u w:val="single"/>
          </w:rPr>
          <w:t xml:space="preserve">oscn.net</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Oklahoma Legislature: </w:t>
      </w:r>
      <w:hyperlink w:history="1" r:id="rIdr1lkoyzkzq5gul5wq5qyg">
        <w:r>
          <w:rPr>
            <w:rFonts w:ascii="Calibri" w:cs="Calibri" w:eastAsia="Calibri" w:hAnsi="Calibri"/>
            <w:color w:val="1F3A68"/>
            <w:sz w:val="22"/>
            <w:szCs w:val="22"/>
            <w:u w:val="single"/>
          </w:rPr>
          <w:t xml:space="preserve">oklegislature.gov</w:t>
        </w:r>
      </w:hyperlink>
      <w:r>
        <w:rPr>
          <w:rFonts w:ascii="Calibri" w:cs="Calibri" w:eastAsia="Calibri" w:hAnsi="Calibri"/>
          <w:color w:val="2B2B2B"/>
          <w:sz w:val="22"/>
          <w:szCs w:val="22"/>
        </w:rPr>
        <w:t xml:space="preserv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12. Important Disclaimers</w:t>
      </w:r>
    </w:p>
    <w:p>
      <w:pPr>
        <w:spacing w:after="80" w:before="80" w:line="300"/>
        <w:jc w:val="left"/>
      </w:pPr>
      <w:r>
        <w:rPr>
          <w:rFonts w:ascii="Calibri" w:cs="Calibri" w:eastAsia="Calibri" w:hAnsi="Calibri"/>
          <w:b w:val="false"/>
          <w:bCs w:val="false"/>
          <w:i w:val="false"/>
          <w:iCs w:val="false"/>
          <w:color w:val="2B2B2B"/>
          <w:sz w:val="22"/>
          <w:szCs w:val="22"/>
        </w:rPr>
        <w:t xml:space="preserve">This document is a general reference. It is not legal advice and does not create an attorney-client relationship. Oklahoma law changes — statutes are amended, agency rules are updated, and courts issue new decisions. Verify every citation with current authority before relying on it. Subsequent-purchaser standing under Jeanguneat, the precise reach of 12 O.S. § 109 (tort versus contract claims), and the effectiveness of contractual disclaimers of the implied warranty are areas where Oklahoma law remains unsettled or fact-dependent. Counsel should be retained for any matter approaching limitations deadlines, involving structural or safety defects, or implicating builder insolvency. The Oklahoma Bar Association lawyer-referral service is available at okbar.org.</w:t>
      </w:r>
    </w:p>
    <w:p>
      <w:pPr>
        <w:spacing w:after="80" w:before="80" w:line="300"/>
        <w:jc w:val="left"/>
      </w:pPr>
      <w:r>
        <w:rPr>
          <w:rFonts w:ascii="Calibri" w:cs="Calibri" w:eastAsia="Calibri" w:hAnsi="Calibri"/>
          <w:b w:val="false"/>
          <w:bCs w:val="false"/>
          <w:i/>
          <w:iCs/>
          <w:color w:val="555555"/>
          <w:sz w:val="22"/>
          <w:szCs w:val="22"/>
        </w:rPr>
        <w:t xml:space="preserve">Citations as of May 2026. The 2023 amendments to 15 O.S. § 765.6 (effective November 1, 2023) and any subsequent legislative or judicial developments should be reviewed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6"/>
        <w:szCs w:val="16"/>
      </w:rPr>
      <w:t xml:space="preserve">General reference — not legal advice — May 2026 edition          Page </w:t>
    </w:r>
    <w:r>
      <w:rPr>
        <w:rFonts w:ascii="Calibri" w:cs="Calibri" w:eastAsia="Calibri" w:hAnsi="Calibri"/>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jc w:val="right"/>
    </w:pPr>
    <w:r>
      <w:rPr>
        <w:rFonts w:ascii="Calibri" w:cs="Calibri" w:eastAsia="Calibri" w:hAnsi="Calibri"/>
        <w:color w:val="555555"/>
        <w:sz w:val="16"/>
        <w:szCs w:val="16"/>
      </w:rPr>
      <w:t xml:space="preserve">OKLAHOMA NEW HOME WARRANTY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2B2B2B"/>
      <w:sz w:val="36"/>
      <w:szCs w:val="36"/>
    </w:rPr>
  </w:style>
  <w:style w:type="paragraph" w:styleId="Heading2">
    <w:name w:val="Heading 2"/>
    <w:basedOn w:val="Normal"/>
    <w:next w:val="Normal"/>
    <w:qFormat/>
    <w:pPr>
      <w:spacing w:after="120" w:before="260"/>
      <w:outlineLvl w:val="1"/>
    </w:pPr>
    <w:rPr>
      <w:rFonts w:ascii="Calibri" w:cs="Calibri" w:eastAsia="Calibri" w:hAnsi="Calibri"/>
      <w:b/>
      <w:bCs/>
      <w:color w:val="2B2B2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oph-0l0kflxfnk8dnem9n" Type="http://schemas.openxmlformats.org/officeDocument/2006/relationships/hyperlink" Target="https://oklahoma.gov/oag/complaints-tiplines/complaints.html" TargetMode="External"/><Relationship Id="rIdw86bz4r_awpnshwwm9yje" Type="http://schemas.openxmlformats.org/officeDocument/2006/relationships/hyperlink" Target="https://oklahoma.gov/cib.html" TargetMode="External"/><Relationship Id="rIdspjawkrsq2mlwfetsw2sf" Type="http://schemas.openxmlformats.org/officeDocument/2006/relationships/hyperlink" Target="https://www.oid.ok.gov/" TargetMode="External"/><Relationship Id="rIdwps3pj00p90xd1r0c5siz" Type="http://schemas.openxmlformats.org/officeDocument/2006/relationships/hyperlink" Target="https://www.okhba.org/" TargetMode="External"/><Relationship Id="rId5yhkmtlwlwn4v6kgwp2oy" Type="http://schemas.openxmlformats.org/officeDocument/2006/relationships/hyperlink" Target="https://www.bbb.org/local-bbb/bbb-of-central-oklahoma" TargetMode="External"/><Relationship Id="rId9qnvuy7ljd6mlrk5wxa3k" Type="http://schemas.openxmlformats.org/officeDocument/2006/relationships/hyperlink" Target="https://law.justia.com/codes/oklahoma/title-12/section-12-95/" TargetMode="External"/><Relationship Id="rIdi5dkbmfnfv1vpyz67udsg" Type="http://schemas.openxmlformats.org/officeDocument/2006/relationships/hyperlink" Target="https://www.oscn.net/applications/oscn/Index.asp?ftdb=STOKST12&amp;level=1" TargetMode="External"/><Relationship Id="rIdgyl6lbzkzsfcagu6o31hz" Type="http://schemas.openxmlformats.org/officeDocument/2006/relationships/hyperlink" Target="https://law.justia.com/codes/oklahoma/title-12/section-12-109/" TargetMode="External"/><Relationship Id="rIdnfu5zcodnxejkpxx6vqba" Type="http://schemas.openxmlformats.org/officeDocument/2006/relationships/hyperlink" Target="https://law.justia.com/codes/oklahoma/title-12/section-12-1751/" TargetMode="External"/><Relationship Id="rIdel7l39utfvcbhs23tlodr" Type="http://schemas.openxmlformats.org/officeDocument/2006/relationships/hyperlink" Target="https://law.justia.com/codes/oklahoma/title-15/section-15-761-1/" TargetMode="External"/><Relationship Id="rIdky0i1dclfyo3b0zv_dj7e" Type="http://schemas.openxmlformats.org/officeDocument/2006/relationships/hyperlink" Target="https://law.justia.com/codes/oklahoma/title-15/section-15-765-2/" TargetMode="External"/><Relationship Id="rIde_nhmoplgqxbxaa-nx_e3" Type="http://schemas.openxmlformats.org/officeDocument/2006/relationships/hyperlink" Target="https://law.justia.com/codes/oklahoma/title-15/section-15-765-6/" TargetMode="External"/><Relationship Id="rId01ohiq6uxlzsq_gyysje5" Type="http://schemas.openxmlformats.org/officeDocument/2006/relationships/hyperlink" Target="https://law.justia.com/codes/oklahoma/title-36/section-36-6751/" TargetMode="External"/><Relationship Id="rIdy1zkvxvkez_k-rx7duwse" Type="http://schemas.openxmlformats.org/officeDocument/2006/relationships/hyperlink" Target="https://law.justia.com/codes/oklahoma/title-42/section-42-142-6/" TargetMode="External"/><Relationship Id="rIdyhbahx9ppe8_zhyabpjfl" Type="http://schemas.openxmlformats.org/officeDocument/2006/relationships/hyperlink" Target="https://law.justia.com/codes/oklahoma/title-59/section-59-1000-2v2/" TargetMode="External"/><Relationship Id="rId9y3arvlb5wxoo3odugjoj" Type="http://schemas.openxmlformats.org/officeDocument/2006/relationships/hyperlink" Target="https://law.justia.com/codes/oklahoma/title-59/section-59-1151-5/" TargetMode="External"/><Relationship Id="rIdczhaipb-dszvxfxy0nkhg" Type="http://schemas.openxmlformats.org/officeDocument/2006/relationships/hyperlink" Target="https://law.justia.com/cases/oklahoma/supreme-court/1978/47707.html" TargetMode="External"/><Relationship Id="rIdhxrb3lpe_uvkmhzhkmc13" Type="http://schemas.openxmlformats.org/officeDocument/2006/relationships/hyperlink" Target="https://law.justia.com/cases/oklahoma/court-of-appeals-civil/1984/9767.html" TargetMode="External"/><Relationship Id="rIdykkscpxcoc8hqoduiozzc" Type="http://schemas.openxmlformats.org/officeDocument/2006/relationships/hyperlink" Target="https://www.oscn.net/applications/oscn/deliverdocument.asp?citeid=43" TargetMode="External"/><Relationship Id="rIdaduwslkkig0dyaberllsc" Type="http://schemas.openxmlformats.org/officeDocument/2006/relationships/hyperlink" Target="https://law.justia.com/cases/oklahoma/supreme-court/2000/43-1.html" TargetMode="External"/><Relationship Id="rIdvldgze5oghh5hsg6-pphx" Type="http://schemas.openxmlformats.org/officeDocument/2006/relationships/hyperlink" Target="https://oklahoma.gov/oag/complaints-tiplines/complaints.html" TargetMode="External"/><Relationship Id="rIdkksy5wgxyd-xq_sbhccln" Type="http://schemas.openxmlformats.org/officeDocument/2006/relationships/hyperlink" Target="https://oklahoma.gov/cib.html" TargetMode="External"/><Relationship Id="rIdp1sh4tmsyk9gbfqudkiyu" Type="http://schemas.openxmlformats.org/officeDocument/2006/relationships/hyperlink" Target="https://www.oid.ok.gov/" TargetMode="External"/><Relationship Id="rId2k8grofkh5rnrpcjvicxi" Type="http://schemas.openxmlformats.org/officeDocument/2006/relationships/hyperlink" Target="https://www.okhba.org/" TargetMode="External"/><Relationship Id="rIdesbo6hfviuxjbdqs-7tji" Type="http://schemas.openxmlformats.org/officeDocument/2006/relationships/hyperlink" Target="https://www.oscn.net/" TargetMode="External"/><Relationship Id="rIdr1lkoyzkzq5gul5wq5qyg" Type="http://schemas.openxmlformats.org/officeDocument/2006/relationships/hyperlink" Target="https://www.oklegislature.gov/" TargetMode="External"/><Relationship Id="rId35"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2026-05-22T14:03:18.357Z</dcterms:created>
  <dcterms:modified xsi:type="dcterms:W3CDTF">2026-05-22T14:03:18.358Z</dcterms:modified>
</cp:coreProperties>
</file>

<file path=docProps/custom.xml><?xml version="1.0" encoding="utf-8"?>
<Properties xmlns="http://schemas.openxmlformats.org/officeDocument/2006/custom-properties" xmlns:vt="http://schemas.openxmlformats.org/officeDocument/2006/docPropsVTypes"/>
</file>