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center"/>
      </w:pPr>
      <w:r>
        <w:rPr>
          <w:rFonts w:ascii="Calibri" w:cs="Calibri" w:eastAsia="Calibri" w:hAnsi="Calibri"/>
          <w:b/>
          <w:bCs/>
          <w:color w:val="2B2B2B"/>
          <w:sz w:val="60"/>
          <w:szCs w:val="60"/>
        </w:rPr>
        <w:t xml:space="preserve">TEXAS</w:t>
      </w:r>
    </w:p>
    <w:p>
      <w:pPr>
        <w:spacing w:after="120"/>
        <w:jc w:val="center"/>
      </w:pPr>
      <w:r>
        <w:rPr>
          <w:rFonts w:ascii="Calibri" w:cs="Calibri" w:eastAsia="Calibri" w:hAnsi="Calibri"/>
          <w:b/>
          <w:bCs/>
          <w:color w:val="2B2B2B"/>
          <w:sz w:val="36"/>
          <w:szCs w:val="36"/>
        </w:rPr>
        <w:t xml:space="preserve">New Home Construction Warranty Reference</w:t>
      </w:r>
    </w:p>
    <w:p>
      <w:pPr>
        <w:spacing w:after="720"/>
        <w:jc w:val="center"/>
      </w:pPr>
      <w:r>
        <w:rPr>
          <w:rFonts w:ascii="Calibri" w:cs="Calibri" w:eastAsia="Calibri" w:hAnsi="Calibri"/>
          <w:i/>
          <w:iCs/>
          <w:color w:val="555555"/>
          <w:sz w:val="24"/>
          <w:szCs w:val="24"/>
        </w:rPr>
        <w:t xml:space="preserve">Implied Warranties, RCLA, DTPA, the 1-2-6 Repose, and Post-TRCC Texas</w:t>
      </w:r>
    </w:p>
    <w:p>
      <w:pPr>
        <w:spacing w:after="80"/>
        <w:jc w:val="center"/>
      </w:pPr>
      <w:r>
        <w:rPr>
          <w:rFonts w:ascii="Calibri" w:cs="Calibri" w:eastAsia="Calibri" w:hAnsi="Calibri"/>
          <w:color w:val="555555"/>
          <w:sz w:val="22"/>
          <w:szCs w:val="22"/>
        </w:rPr>
        <w:t xml:space="preserve">A general reference for homeowners, real-estate professionals, and counsel</w:t>
      </w:r>
    </w:p>
    <w:p>
      <w:pPr>
        <w:spacing w:after="1200"/>
        <w:jc w:val="center"/>
      </w:pPr>
      <w:r>
        <w:rPr>
          <w:rFonts w:ascii="Calibri" w:cs="Calibri" w:eastAsia="Calibri" w:hAnsi="Calibri"/>
          <w:i/>
          <w:iCs/>
          <w:color w:val="555555"/>
          <w:sz w:val="20"/>
          <w:szCs w:val="20"/>
        </w:rPr>
        <w:t xml:space="preserve">Not legal advice — verify all citations with a licensed Texas attorney before relying on them.</w:t>
      </w:r>
    </w:p>
    <w:p>
      <w:pPr>
        <w:spacing w:after="80"/>
        <w:jc w:val="center"/>
      </w:pPr>
      <w:r>
        <w:rPr>
          <w:rFonts w:ascii="Calibri" w:cs="Calibri" w:eastAsia="Calibri" w:hAnsi="Calibri"/>
          <w:color w:val="555555"/>
          <w:sz w:val="20"/>
          <w:szCs w:val="20"/>
        </w:rPr>
        <w:t xml:space="preserve">Edition: May 2026</w:t>
      </w:r>
    </w:p>
    <w:p>
      <w:r>
        <w:br w:type="page"/>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 Overview of Texas's Framework</w:t>
      </w:r>
    </w:p>
    <w:p>
      <w:pPr>
        <w:spacing w:after="120" w:before="80" w:line="300"/>
        <w:jc w:val="left"/>
      </w:pPr>
      <w:r>
        <w:rPr>
          <w:rFonts w:ascii="Calibri" w:cs="Calibri" w:eastAsia="Calibri" w:hAnsi="Calibri"/>
          <w:b w:val="false"/>
          <w:bCs w:val="false"/>
          <w:i w:val="false"/>
          <w:iCs w:val="false"/>
          <w:color w:val="2B2B2B"/>
          <w:sz w:val="22"/>
          <w:szCs w:val="22"/>
        </w:rPr>
        <w:t xml:space="preserve">Texas has one of the more idiosyncratic frameworks in the country because the Texas Residential Construction Commission and its statutory new-home warranty scheme were abolished by the Sunset Advisory Commission in 2009. There is no state builder license, no state recovery fund, and no state-administered dispute resolution program. The homeowner's protections rest on four overlapping layers — and two of them were substantially amended in 2023.</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Two common-law implied warranties </w:t>
      </w:r>
      <w:r>
        <w:rPr>
          <w:rFonts w:ascii="Calibri" w:cs="Calibri" w:eastAsia="Calibri" w:hAnsi="Calibri"/>
          <w:color w:val="2B2B2B"/>
          <w:sz w:val="22"/>
          <w:szCs w:val="22"/>
        </w:rPr>
        <w:t xml:space="preserve">— habitability and good workmanship — recognized in </w:t>
      </w:r>
      <w:r>
        <w:rPr>
          <w:rFonts w:ascii="Calibri" w:cs="Calibri" w:eastAsia="Calibri" w:hAnsi="Calibri"/>
          <w:b w:val="false"/>
          <w:bCs w:val="false"/>
          <w:i/>
          <w:iCs/>
          <w:color w:val="2B2B2B"/>
          <w:sz w:val="22"/>
          <w:szCs w:val="22"/>
        </w:rPr>
        <w:t xml:space="preserve">Humber v. Morton</w:t>
      </w:r>
      <w:r>
        <w:rPr>
          <w:rFonts w:ascii="Calibri" w:cs="Calibri" w:eastAsia="Calibri" w:hAnsi="Calibri"/>
          <w:color w:val="2B2B2B"/>
          <w:sz w:val="22"/>
          <w:szCs w:val="22"/>
        </w:rPr>
        <w:t xml:space="preserve">, 426 S.W.2d 554 (Tex. 1968) and refined by </w:t>
      </w:r>
      <w:r>
        <w:rPr>
          <w:rFonts w:ascii="Calibri" w:cs="Calibri" w:eastAsia="Calibri" w:hAnsi="Calibri"/>
          <w:b w:val="false"/>
          <w:bCs w:val="false"/>
          <w:i/>
          <w:iCs/>
          <w:color w:val="2B2B2B"/>
          <w:sz w:val="22"/>
          <w:szCs w:val="22"/>
        </w:rPr>
        <w:t xml:space="preserve">Centex Homes v. Buecher</w:t>
      </w:r>
      <w:r>
        <w:rPr>
          <w:rFonts w:ascii="Calibri" w:cs="Calibri" w:eastAsia="Calibri" w:hAnsi="Calibri"/>
          <w:color w:val="2B2B2B"/>
          <w:sz w:val="22"/>
          <w:szCs w:val="22"/>
        </w:rPr>
        <w:t xml:space="preserve">, 95 S.W.3d 266 (Tex. 2002). The habitability warranty cannot be disclaimed; the workmanship warranty can be superseded by a sufficiently detailed written express warranty.</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Residential Construction Liability Act (RCLA) — Tex. Prop. Code Ch. 27 </w:t>
      </w:r>
      <w:r>
        <w:rPr>
          <w:rFonts w:ascii="Calibri" w:cs="Calibri" w:eastAsia="Calibri" w:hAnsi="Calibri"/>
          <w:color w:val="2B2B2B"/>
          <w:sz w:val="22"/>
          <w:szCs w:val="22"/>
        </w:rPr>
        <w:t xml:space="preserve">— mandatory pre-suit notice and offer process. The homeowner must give the contractor 60 days' written notice by certified mail before filing suit. The contractor may inspect (up to three times within 35 days) and has 60 days to make a written offer of repair or settlement.</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Texas Deceptive Trade Practices Act (DTPA) — Tex. Bus. &amp; Com. Code § 17.41 et seq. </w:t>
      </w:r>
      <w:r>
        <w:rPr>
          <w:rFonts w:ascii="Calibri" w:cs="Calibri" w:eastAsia="Calibri" w:hAnsi="Calibri"/>
          <w:color w:val="2B2B2B"/>
          <w:sz w:val="22"/>
          <w:szCs w:val="22"/>
        </w:rPr>
        <w:t xml:space="preserve">— applies to new-home transactions. Provides economic damages, mental anguish for knowing violations, treble damages for knowing or intentional conduct, and mandatory attorney's fees for the prevailing consumer. RCLA caps DTPA recovery for pure construction-defect claims.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Common-law contract and negligence claims </w:t>
      </w:r>
      <w:r>
        <w:rPr>
          <w:rFonts w:ascii="Calibri" w:cs="Calibri" w:eastAsia="Calibri" w:hAnsi="Calibri"/>
          <w:color w:val="2B2B2B"/>
          <w:sz w:val="22"/>
          <w:szCs w:val="22"/>
        </w:rPr>
        <w:t xml:space="preserve">— breach of written contract under Tex. Civ. Prac. &amp; Rem. Code § 16.051 (4-year residual catchall), negligence under § 16.003 (2 years), all capped by the statute of repose under § 16.009 — recently shortened in many cases to 6 years.</w:t>
      </w:r>
    </w:p>
    <w:p>
      <w:pPr>
        <w:spacing w:after="80" w:before="160" w:line="300"/>
        <w:jc w:val="left"/>
      </w:pPr>
      <w:r>
        <w:rPr>
          <w:rFonts w:ascii="Calibri" w:cs="Calibri" w:eastAsia="Calibri" w:hAnsi="Calibri"/>
          <w:b w:val="false"/>
          <w:bCs w:val="false"/>
          <w:i w:val="false"/>
          <w:iCs w:val="false"/>
          <w:color w:val="2B2B2B"/>
          <w:sz w:val="22"/>
          <w:szCs w:val="22"/>
        </w:rPr>
        <w:t xml:space="preserve">Three background features dominate any Texas new-home defect analysis:</w:t>
      </w:r>
    </w:p>
    <w:p>
      <w:pPr>
        <w:pStyle w:val="ListParagraph"/>
        <w:numPr>
          <w:ilvl w:val="0"/>
          <w:numId w:val="3"/>
        </w:numPr>
        <w:spacing w:after="60" w:before="60" w:line="280"/>
      </w:pPr>
      <w:r>
        <w:rPr>
          <w:rFonts w:ascii="Calibri" w:cs="Calibri" w:eastAsia="Calibri" w:hAnsi="Calibri"/>
          <w:color w:val="2B2B2B"/>
          <w:sz w:val="22"/>
          <w:szCs w:val="22"/>
        </w:rPr>
        <w:t xml:space="preserve">The Texas Residential Construction Commission was abolished effective September 1, 2009, and wound down through September 1, 2010. The State-Sponsored Inspection and Resolution Process is gone. No state warranty registry, no state recovery fund, and no statewide builder license has replaced it. Homeowner-facing materials that reference TRCC, SIRP, or state-registered builders are out of date. House Bill 2022 (88th Legislature, effective September 1, 2023) was a cleanup bill that excised the remaining TRCC references from the RCLA.</w:t>
      </w:r>
    </w:p>
    <w:p>
      <w:pPr>
        <w:pStyle w:val="ListParagraph"/>
        <w:numPr>
          <w:ilvl w:val="0"/>
          <w:numId w:val="3"/>
        </w:numPr>
        <w:spacing w:after="60" w:before="60" w:line="280"/>
      </w:pPr>
      <w:r>
        <w:rPr>
          <w:rFonts w:ascii="Calibri" w:cs="Calibri" w:eastAsia="Calibri" w:hAnsi="Calibri"/>
          <w:color w:val="2B2B2B"/>
          <w:sz w:val="22"/>
          <w:szCs w:val="22"/>
        </w:rPr>
        <w:t xml:space="preserve">House Bill 2024 (88th Legislature, effective June 9, 2023) created an alternative 6-year statute of repose for residential homebuilders who provide a qualifying 1-2-6 written warranty (1 year workmanship and materials, 2 years plumbing, electrical, and HVAC delivery systems, and 6 years major structural components). Without a qualifying 1-2-6 warranty, the default 10-year repose under Tex. Civ. Prac. &amp; Rem. Code § 16.009 still applies. The homeowner must check the limited warranty book at intake — the difference between 6 years and 10 years often controls whether the claim survives.</w:t>
      </w:r>
    </w:p>
    <w:p>
      <w:pPr>
        <w:pStyle w:val="ListParagraph"/>
        <w:numPr>
          <w:ilvl w:val="0"/>
          <w:numId w:val="3"/>
        </w:numPr>
        <w:spacing w:after="60" w:before="60" w:line="280"/>
      </w:pPr>
      <w:r>
        <w:rPr>
          <w:rFonts w:ascii="Calibri" w:cs="Calibri" w:eastAsia="Calibri" w:hAnsi="Calibri"/>
          <w:color w:val="2B2B2B"/>
          <w:sz w:val="22"/>
          <w:szCs w:val="22"/>
        </w:rPr>
        <w:t xml:space="preserve">Texas does not license residential general contractors at the state level. Specialty trades are licensed by the Texas Department of Licensing and Regulation (electricians, HVAC contractors, elevator installers, fire-protection sprinkler installers, mold remediators, well drillers) and by the Texas State Board of Plumbing Examiners (plumbers). Real estate brokers and inspectors are licensed by the Texas Real Estate Commission. Some cities (Houston, Dallas, San Antonio) require local trade registration, but no city issues a comprehensive general contractor license.</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2. The Two Implied Warranties — Habitability and Good Workmanship</w:t>
      </w:r>
    </w:p>
    <w:p>
      <w:pPr>
        <w:pStyle w:val="Heading2"/>
        <w:keepNext/>
        <w:spacing w:after="120" w:before="260"/>
      </w:pPr>
      <w:r>
        <w:rPr>
          <w:rFonts w:ascii="Calibri" w:cs="Calibri" w:eastAsia="Calibri" w:hAnsi="Calibri"/>
          <w:b/>
          <w:bCs/>
          <w:color w:val="2B2B2B"/>
          <w:sz w:val="28"/>
          <w:szCs w:val="28"/>
        </w:rPr>
        <w:t xml:space="preserve">Foundational case law</w:t>
      </w:r>
    </w:p>
    <w:p>
      <w:pPr>
        <w:spacing w:after="80" w:before="80" w:line="300"/>
        <w:jc w:val="left"/>
      </w:pPr>
      <w:r>
        <w:rPr>
          <w:rFonts w:ascii="Calibri" w:cs="Calibri" w:eastAsia="Calibri" w:hAnsi="Calibri"/>
          <w:b w:val="false"/>
          <w:bCs w:val="false"/>
          <w:i/>
          <w:iCs/>
          <w:color w:val="2B2B2B"/>
          <w:sz w:val="22"/>
          <w:szCs w:val="22"/>
        </w:rPr>
        <w:t xml:space="preserve">Humber v. Morton</w:t>
      </w:r>
      <w:r>
        <w:rPr>
          <w:rFonts w:ascii="Calibri" w:cs="Calibri" w:eastAsia="Calibri" w:hAnsi="Calibri"/>
          <w:color w:val="2B2B2B"/>
          <w:sz w:val="22"/>
          <w:szCs w:val="22"/>
        </w:rPr>
        <w:t xml:space="preserve">, 426 S.W.2d 554 (Tex. 1968), abolished caveat emptor for new-home sales. Mrs. Humber's chimney was defectively built; the first fire damaged the home. The Texas Supreme Court held that a builder-vendor impliedly warrants that the home was constructed in a good workmanlike manner and was suitable for human habitation. The Court called caveat emptor "an anachronism patently out of harmony with modern home buying practices."</w:t>
      </w:r>
    </w:p>
    <w:p>
      <w:pPr>
        <w:spacing w:after="80" w:before="80" w:line="300"/>
        <w:jc w:val="left"/>
      </w:pPr>
      <w:r>
        <w:rPr>
          <w:rFonts w:ascii="Calibri" w:cs="Calibri" w:eastAsia="Calibri" w:hAnsi="Calibri"/>
          <w:b w:val="false"/>
          <w:bCs w:val="false"/>
          <w:i/>
          <w:iCs/>
          <w:color w:val="2B2B2B"/>
          <w:sz w:val="22"/>
          <w:szCs w:val="22"/>
        </w:rPr>
        <w:t xml:space="preserve">Gupta v. Ritter Homes, Inc.</w:t>
      </w:r>
      <w:r>
        <w:rPr>
          <w:rFonts w:ascii="Calibri" w:cs="Calibri" w:eastAsia="Calibri" w:hAnsi="Calibri"/>
          <w:color w:val="2B2B2B"/>
          <w:sz w:val="22"/>
          <w:szCs w:val="22"/>
        </w:rPr>
        <w:t xml:space="preserve">, 646 S.W.2d 168 (Tex. 1983), extended both implied warranties to subsequent purchasers for latent defects not discoverable by reasonable inspection at the time of resale. Privity is not required.</w:t>
      </w:r>
    </w:p>
    <w:p>
      <w:pPr>
        <w:spacing w:after="80" w:before="80" w:line="300"/>
        <w:jc w:val="left"/>
      </w:pPr>
      <w:r>
        <w:rPr>
          <w:rFonts w:ascii="Calibri" w:cs="Calibri" w:eastAsia="Calibri" w:hAnsi="Calibri"/>
          <w:b w:val="false"/>
          <w:bCs w:val="false"/>
          <w:i/>
          <w:iCs/>
          <w:color w:val="2B2B2B"/>
          <w:sz w:val="22"/>
          <w:szCs w:val="22"/>
        </w:rPr>
        <w:t xml:space="preserve">Centex Homes v. Buecher</w:t>
      </w:r>
      <w:r>
        <w:rPr>
          <w:rFonts w:ascii="Calibri" w:cs="Calibri" w:eastAsia="Calibri" w:hAnsi="Calibri"/>
          <w:color w:val="2B2B2B"/>
          <w:sz w:val="22"/>
          <w:szCs w:val="22"/>
        </w:rPr>
        <w:t xml:space="preserve">, 95 S.W.3d 266 (Tex. 2002), is the defining modern decision. The Texas Supreme Court held that the two implied warranties are analytically separate and follow different disclaimer rules. The implied warranty of habitability cannot be waived or disclaimed except in extremely narrow circumstances (the buyer is told of a specific defect, or the defect is plainly visible). The implied warranty of good and workmanlike construction can be superseded by a written contract that describes in sufficient detail how the builder is to perform — effectively a substitute express warranty addressing workmanship.</w:t>
      </w:r>
    </w:p>
    <w:p>
      <w:pPr>
        <w:spacing w:after="80" w:before="80" w:line="300"/>
        <w:jc w:val="left"/>
      </w:pPr>
      <w:r>
        <w:rPr>
          <w:rFonts w:ascii="Calibri" w:cs="Calibri" w:eastAsia="Calibri" w:hAnsi="Calibri"/>
          <w:b w:val="false"/>
          <w:bCs w:val="false"/>
          <w:i/>
          <w:iCs/>
          <w:color w:val="2B2B2B"/>
          <w:sz w:val="22"/>
          <w:szCs w:val="22"/>
        </w:rPr>
        <w:t xml:space="preserve">Lennar Homes of Texas Land &amp; Constr., Ltd. v. Whiteley</w:t>
      </w:r>
      <w:r>
        <w:rPr>
          <w:rFonts w:ascii="Calibri" w:cs="Calibri" w:eastAsia="Calibri" w:hAnsi="Calibri"/>
          <w:color w:val="2B2B2B"/>
          <w:sz w:val="22"/>
          <w:szCs w:val="22"/>
        </w:rPr>
        <w:t xml:space="preserve">, 672 S.W.3d 367 (Tex. 2023), is the most significant recent refinement. A subsequent purchaser was bound by the arbitration clause in the original purchase agreement when asserting construction-defect claims tied to the implied warranties. This matters procedurally — downstream owners retain substantive rights but may be bound to whatever forum the original contract specified.</w:t>
      </w:r>
    </w:p>
    <w:p>
      <w:pPr>
        <w:pStyle w:val="Heading2"/>
        <w:keepNext/>
        <w:spacing w:after="120" w:before="260"/>
      </w:pPr>
      <w:r>
        <w:rPr>
          <w:rFonts w:ascii="Calibri" w:cs="Calibri" w:eastAsia="Calibri" w:hAnsi="Calibri"/>
          <w:b/>
          <w:bCs/>
          <w:color w:val="2B2B2B"/>
          <w:sz w:val="28"/>
          <w:szCs w:val="28"/>
        </w:rPr>
        <w:t xml:space="preserve">Habitability — the higher, unwaivable standard</w:t>
      </w:r>
    </w:p>
    <w:p>
      <w:pPr>
        <w:spacing w:after="80" w:before="80" w:line="300"/>
        <w:jc w:val="left"/>
      </w:pPr>
      <w:r>
        <w:rPr>
          <w:rFonts w:ascii="Calibri" w:cs="Calibri" w:eastAsia="Calibri" w:hAnsi="Calibri"/>
          <w:b w:val="false"/>
          <w:bCs w:val="false"/>
          <w:i w:val="false"/>
          <w:iCs w:val="false"/>
          <w:color w:val="2B2B2B"/>
          <w:sz w:val="22"/>
          <w:szCs w:val="22"/>
        </w:rPr>
        <w:t xml:space="preserve">Habitability requires that the home be so defective that it is unsuitable for use as a home. Defects must affect safety, sanitation, or basic fitness for human residential use. Cosmetic and most workmanship defects do not qualify. This warranty cannot be disclaimed. The exceptions are narrow: where the homeowner has been told of the specific defect or where it is plainly visible at the time of purchase, the warranty does not attach to that particular defect.</w:t>
      </w:r>
    </w:p>
    <w:p>
      <w:pPr>
        <w:pStyle w:val="Heading2"/>
        <w:keepNext/>
        <w:spacing w:after="120" w:before="260"/>
      </w:pPr>
      <w:r>
        <w:rPr>
          <w:rFonts w:ascii="Calibri" w:cs="Calibri" w:eastAsia="Calibri" w:hAnsi="Calibri"/>
          <w:b/>
          <w:bCs/>
          <w:color w:val="2B2B2B"/>
          <w:sz w:val="28"/>
          <w:szCs w:val="28"/>
        </w:rPr>
        <w:t xml:space="preserve">Good and workmanlike construction — waivable by detailed substitute</w:t>
      </w:r>
    </w:p>
    <w:p>
      <w:pPr>
        <w:spacing w:after="80" w:before="80" w:line="300"/>
        <w:jc w:val="left"/>
      </w:pPr>
      <w:r>
        <w:rPr>
          <w:rFonts w:ascii="Calibri" w:cs="Calibri" w:eastAsia="Calibri" w:hAnsi="Calibri"/>
          <w:b w:val="false"/>
          <w:bCs w:val="false"/>
          <w:i w:val="false"/>
          <w:iCs w:val="false"/>
          <w:color w:val="2B2B2B"/>
          <w:sz w:val="22"/>
          <w:szCs w:val="22"/>
        </w:rPr>
        <w:t xml:space="preserve">Workmanship is the level of skill ordinarily exercised by a competent builder in the community. This warranty can be superseded by a written contract that describes in sufficient detail how the builder is to perform — typically by an express written warranty addressing materials, methods, and standards. Boilerplate "as-is" or general disclaimer language is insufficient. The substitute must actually address what the builder is required to do.</w:t>
      </w:r>
    </w:p>
    <w:p>
      <w:pPr>
        <w:pStyle w:val="Heading2"/>
        <w:keepNext/>
        <w:spacing w:after="120" w:before="260"/>
      </w:pPr>
      <w:r>
        <w:rPr>
          <w:rFonts w:ascii="Calibri" w:cs="Calibri" w:eastAsia="Calibri" w:hAnsi="Calibri"/>
          <w:b/>
          <w:bCs/>
          <w:color w:val="2B2B2B"/>
          <w:sz w:val="28"/>
          <w:szCs w:val="28"/>
        </w:rPr>
        <w:t xml:space="preserve">Who can sue and what is covered</w:t>
      </w:r>
    </w:p>
    <w:p>
      <w:pPr>
        <w:pStyle w:val="ListParagraph"/>
        <w:numPr>
          <w:ilvl w:val="0"/>
          <w:numId w:val="2"/>
        </w:numPr>
        <w:spacing w:after="40" w:before="40" w:line="280"/>
      </w:pPr>
      <w:r>
        <w:rPr>
          <w:rFonts w:ascii="Calibri" w:cs="Calibri" w:eastAsia="Calibri" w:hAnsi="Calibri"/>
          <w:color w:val="2B2B2B"/>
          <w:sz w:val="22"/>
          <w:szCs w:val="22"/>
        </w:rPr>
        <w:t xml:space="preserve">Original buyer of the new home.</w:t>
      </w:r>
    </w:p>
    <w:p>
      <w:pPr>
        <w:pStyle w:val="ListParagraph"/>
        <w:numPr>
          <w:ilvl w:val="0"/>
          <w:numId w:val="2"/>
        </w:numPr>
        <w:spacing w:after="40" w:before="40" w:line="280"/>
      </w:pPr>
      <w:r>
        <w:rPr>
          <w:rFonts w:ascii="Calibri" w:cs="Calibri" w:eastAsia="Calibri" w:hAnsi="Calibri"/>
          <w:color w:val="2B2B2B"/>
          <w:sz w:val="22"/>
          <w:szCs w:val="22"/>
        </w:rPr>
        <w:t xml:space="preserve">Subsequent purchaser of the same home for latent defects not discoverable on reasonable inspection (Gupta, 1983).</w:t>
      </w:r>
    </w:p>
    <w:p>
      <w:pPr>
        <w:pStyle w:val="ListParagraph"/>
        <w:numPr>
          <w:ilvl w:val="0"/>
          <w:numId w:val="2"/>
        </w:numPr>
        <w:spacing w:after="40" w:before="40" w:line="280"/>
      </w:pPr>
      <w:r>
        <w:rPr>
          <w:rFonts w:ascii="Calibri" w:cs="Calibri" w:eastAsia="Calibri" w:hAnsi="Calibri"/>
          <w:color w:val="2B2B2B"/>
          <w:sz w:val="22"/>
          <w:szCs w:val="22"/>
        </w:rPr>
        <w:t xml:space="preserve">Both warranties cover only the new construction itself; resale of a used home from one homeowner to another is not covered.</w:t>
      </w:r>
    </w:p>
    <w:p>
      <w:pPr>
        <w:pStyle w:val="ListParagraph"/>
        <w:numPr>
          <w:ilvl w:val="0"/>
          <w:numId w:val="2"/>
        </w:numPr>
        <w:spacing w:after="40" w:before="40" w:line="280"/>
      </w:pPr>
      <w:r>
        <w:rPr>
          <w:rFonts w:ascii="Calibri" w:cs="Calibri" w:eastAsia="Calibri" w:hAnsi="Calibri"/>
          <w:color w:val="2B2B2B"/>
          <w:sz w:val="22"/>
          <w:szCs w:val="22"/>
        </w:rPr>
        <w:t xml:space="preserve">Latent defects are at the heart of the doctrine; patent defects that should have been discovered on reasonable inspection at closing are generally waived.</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3. The TRCC Abolition — Why Texas Has No State Warranty Scheme</w:t>
      </w:r>
    </w:p>
    <w:p>
      <w:pPr>
        <w:spacing w:after="80" w:before="80" w:line="300"/>
        <w:jc w:val="left"/>
      </w:pPr>
      <w:r>
        <w:rPr>
          <w:rFonts w:ascii="Calibri" w:cs="Calibri" w:eastAsia="Calibri" w:hAnsi="Calibri"/>
          <w:b w:val="false"/>
          <w:bCs w:val="false"/>
          <w:i w:val="false"/>
          <w:iCs w:val="false"/>
          <w:color w:val="2B2B2B"/>
          <w:sz w:val="22"/>
          <w:szCs w:val="22"/>
        </w:rPr>
        <w:t xml:space="preserve">The Texas Residential Construction Commission was created in 2003 by the 78th Legislature to register residential homebuilders, administer a statutory new-home warranty, and run a State-Sponsored Inspection and Resolution Process (SIRP) for builder defect disputes. The TRCC was deeply unpopular with consumer advocates from the start. The Sunset Advisory Commission's January 2009 report concluded the TRCC "did more harm than good" and recommended abolition.</w:t>
      </w:r>
    </w:p>
    <w:p>
      <w:pPr>
        <w:spacing w:after="80" w:before="80" w:line="300"/>
        <w:jc w:val="left"/>
      </w:pPr>
      <w:r>
        <w:rPr>
          <w:rFonts w:ascii="Calibri" w:cs="Calibri" w:eastAsia="Calibri" w:hAnsi="Calibri"/>
          <w:b w:val="false"/>
          <w:bCs w:val="false"/>
          <w:i w:val="false"/>
          <w:iCs w:val="false"/>
          <w:color w:val="2B2B2B"/>
          <w:sz w:val="22"/>
          <w:szCs w:val="22"/>
        </w:rPr>
        <w:t xml:space="preserve">The Texas Residential Construction Commission Act was repealed effective September 1, 2009; the agency wound down through September 1, 2010. There is no state-mandated new-home warranty statute, no state warranty registry, no state-sponsored dispute resolution program, no state builder license, and no state contractor recovery fund. The Residential Construction Liability Act survived as a separate statute and continues to govern pre-suit notice and damages. House Bill 2022 (88th Legislature, effective September 1, 2023) was a cleanup bill that excised the remaining TRCC references from the RCLA.</w:t>
      </w:r>
    </w:p>
    <w:p>
      <w:pPr>
        <w:spacing w:after="80" w:before="80" w:line="300"/>
        <w:jc w:val="left"/>
      </w:pPr>
      <w:r>
        <w:rPr>
          <w:rFonts w:ascii="Calibri" w:cs="Calibri" w:eastAsia="Calibri" w:hAnsi="Calibri"/>
          <w:b w:val="false"/>
          <w:bCs w:val="false"/>
          <w:i w:val="false"/>
          <w:iCs w:val="false"/>
          <w:color w:val="2B2B2B"/>
          <w:sz w:val="22"/>
          <w:szCs w:val="22"/>
        </w:rPr>
        <w:t xml:space="preserve">Practical effect: the homeowner's protection in Texas comes from the common-law implied warranties (Humber / Centex), the RCLA procedure, the DTPA, ordinary contract law, and any written limited warranty the builder voluntarily provides. Older homeowner-facing materials that reference TRCC registration, SIRP, or a state warranty database are obsolete and frequently misleading.</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4. The Residential Construction Liability Act (RCLA)</w:t>
      </w:r>
    </w:p>
    <w:p>
      <w:pPr>
        <w:spacing w:after="80" w:before="80" w:line="300"/>
        <w:jc w:val="left"/>
      </w:pPr>
      <w:r>
        <w:rPr>
          <w:rFonts w:ascii="Calibri" w:cs="Calibri" w:eastAsia="Calibri" w:hAnsi="Calibri"/>
          <w:b w:val="false"/>
          <w:bCs w:val="false"/>
          <w:i w:val="false"/>
          <w:iCs w:val="false"/>
          <w:color w:val="2B2B2B"/>
          <w:sz w:val="22"/>
          <w:szCs w:val="22"/>
        </w:rPr>
        <w:t xml:space="preserve">The RCLA, at Tex. Prop. Code Ch. 27, is a procedural overlay. It does not create a cause of action — it governs notice, inspection, settlement offers, and damages for any claim arising from a construction defect at a residence. It expressly applies to and modifies DTPA, negligence, breach-of-contract, and breach-of-warranty claims.</w:t>
      </w:r>
    </w:p>
    <w:p>
      <w:pPr>
        <w:pStyle w:val="Heading2"/>
        <w:keepNext/>
        <w:spacing w:after="120" w:before="260"/>
      </w:pPr>
      <w:r>
        <w:rPr>
          <w:rFonts w:ascii="Calibri" w:cs="Calibri" w:eastAsia="Calibri" w:hAnsi="Calibri"/>
          <w:b/>
          <w:bCs/>
          <w:color w:val="2B2B2B"/>
          <w:sz w:val="28"/>
          <w:szCs w:val="28"/>
        </w:rPr>
        <w:t xml:space="preserve">Who and what is covered</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Construction defect </w:t>
      </w:r>
      <w:r>
        <w:rPr>
          <w:rFonts w:ascii="Calibri" w:cs="Calibri" w:eastAsia="Calibri" w:hAnsi="Calibri"/>
          <w:color w:val="2B2B2B"/>
          <w:sz w:val="22"/>
          <w:szCs w:val="22"/>
        </w:rPr>
        <w:t xml:space="preserve">(§ 27.001, as amended by HB 2022 effective September 1, 2023) is a defective condition that results in actual physical damage to the residence, actual failure or lack of capability of a building component to perform its intended function, or a verifiable danger to occupant safety.</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Contractor </w:t>
      </w:r>
      <w:r>
        <w:rPr>
          <w:rFonts w:ascii="Calibri" w:cs="Calibri" w:eastAsia="Calibri" w:hAnsi="Calibri"/>
          <w:color w:val="2B2B2B"/>
          <w:sz w:val="22"/>
          <w:szCs w:val="22"/>
        </w:rPr>
        <w:t xml:space="preserve">includes general contractors, subcontractors, suppliers, and design professionals working on a residence.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Residence </w:t>
      </w:r>
      <w:r>
        <w:rPr>
          <w:rFonts w:ascii="Calibri" w:cs="Calibri" w:eastAsia="Calibri" w:hAnsi="Calibri"/>
          <w:color w:val="2B2B2B"/>
          <w:sz w:val="22"/>
          <w:szCs w:val="22"/>
        </w:rPr>
        <w:t xml:space="preserve">means real property and the improvements thereon that are owned and occupied (or to be occupied) as a primary residence.</w:t>
      </w:r>
    </w:p>
    <w:p>
      <w:pPr>
        <w:pStyle w:val="Heading2"/>
        <w:keepNext/>
        <w:spacing w:after="120" w:before="260"/>
      </w:pPr>
      <w:r>
        <w:rPr>
          <w:rFonts w:ascii="Calibri" w:cs="Calibri" w:eastAsia="Calibri" w:hAnsi="Calibri"/>
          <w:b/>
          <w:bCs/>
          <w:color w:val="2B2B2B"/>
          <w:sz w:val="28"/>
          <w:szCs w:val="28"/>
        </w:rPr>
        <w:t xml:space="preserve">The mandatory notice and offer procedure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Step</w:t>
            </w:r>
          </w:p>
        </w:tc>
        <w:tc>
          <w:tcPr>
            <w:tcW w:type="dxa" w:w="63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Detail</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Homeowner serves written notice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At least 60 days before filing suit, by certified mail return receipt requested, describing in reasonable detail each construction defect and any evidence (Tex. Prop. Code § 27.004).</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Contractor's inspection window</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Within 35 days of receiving the notice, the contractor may make a written request to inspect. The contractor may inspect up to three times within that 35-day window (clarified by HB 2022, effective September 1, 2023).</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Contractor's 60-day offer window</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Within 60 days of receiving the notice (extended from 45 days by HB 2022), the contractor must make a written settlement offer: to repair the defect, to pay money, or both.</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Homeowner's response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Accept, reject, or counter the contractor's offer. If the homeowner unreasonably rejects a reasonable offer, recoverable damages are capped at the fair-market value of the offer plus reasonable attorney's fees incurred before the offer was rejected.</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Effect of failure to give notice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Defendant may file a plea in abatement; court must abate the action until proper notice is given (§ 27.004(d)). The case is paused, not dismissed.</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Effect of contractor's failure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the contractor fails to make a reasonable offer or fails to complete agreed-upon repairs, the RCLA's damage limitations no longer apply — the homeowner can pursue the full DTPA remedy.</w:t>
            </w:r>
          </w:p>
        </w:tc>
      </w:tr>
    </w:tbl>
    <w:p>
      <w:pPr>
        <w:pStyle w:val="Heading2"/>
        <w:keepNext/>
        <w:spacing w:after="120" w:before="260"/>
      </w:pPr>
      <w:r>
        <w:rPr>
          <w:rFonts w:ascii="Calibri" w:cs="Calibri" w:eastAsia="Calibri" w:hAnsi="Calibri"/>
          <w:b/>
          <w:bCs/>
          <w:color w:val="2B2B2B"/>
          <w:sz w:val="28"/>
          <w:szCs w:val="28"/>
        </w:rPr>
        <w:t xml:space="preserve">Damages under § 27.004(g) — the statutory list</w:t>
      </w:r>
    </w:p>
    <w:p>
      <w:pPr>
        <w:pStyle w:val="ListParagraph"/>
        <w:numPr>
          <w:ilvl w:val="0"/>
          <w:numId w:val="2"/>
        </w:numPr>
        <w:spacing w:after="40" w:before="40" w:line="280"/>
      </w:pPr>
      <w:r>
        <w:rPr>
          <w:rFonts w:ascii="Calibri" w:cs="Calibri" w:eastAsia="Calibri" w:hAnsi="Calibri"/>
          <w:color w:val="2B2B2B"/>
          <w:sz w:val="22"/>
          <w:szCs w:val="22"/>
        </w:rPr>
        <w:t xml:space="preserve">Reasonable cost of repairs.</w:t>
      </w:r>
    </w:p>
    <w:p>
      <w:pPr>
        <w:pStyle w:val="ListParagraph"/>
        <w:numPr>
          <w:ilvl w:val="0"/>
          <w:numId w:val="2"/>
        </w:numPr>
        <w:spacing w:after="40" w:before="40" w:line="280"/>
      </w:pPr>
      <w:r>
        <w:rPr>
          <w:rFonts w:ascii="Calibri" w:cs="Calibri" w:eastAsia="Calibri" w:hAnsi="Calibri"/>
          <w:color w:val="2B2B2B"/>
          <w:sz w:val="22"/>
          <w:szCs w:val="22"/>
        </w:rPr>
        <w:t xml:space="preserve">Cost to replace or repair damaged personal property in the residence.</w:t>
      </w:r>
    </w:p>
    <w:p>
      <w:pPr>
        <w:pStyle w:val="ListParagraph"/>
        <w:numPr>
          <w:ilvl w:val="0"/>
          <w:numId w:val="2"/>
        </w:numPr>
        <w:spacing w:after="40" w:before="40" w:line="280"/>
      </w:pPr>
      <w:r>
        <w:rPr>
          <w:rFonts w:ascii="Calibri" w:cs="Calibri" w:eastAsia="Calibri" w:hAnsi="Calibri"/>
          <w:color w:val="2B2B2B"/>
          <w:sz w:val="22"/>
          <w:szCs w:val="22"/>
        </w:rPr>
        <w:t xml:space="preserve">Reasonable engineering and consulting fees.</w:t>
      </w:r>
    </w:p>
    <w:p>
      <w:pPr>
        <w:pStyle w:val="ListParagraph"/>
        <w:numPr>
          <w:ilvl w:val="0"/>
          <w:numId w:val="2"/>
        </w:numPr>
        <w:spacing w:after="40" w:before="40" w:line="280"/>
      </w:pPr>
      <w:r>
        <w:rPr>
          <w:rFonts w:ascii="Calibri" w:cs="Calibri" w:eastAsia="Calibri" w:hAnsi="Calibri"/>
          <w:color w:val="2B2B2B"/>
          <w:sz w:val="22"/>
          <w:szCs w:val="22"/>
        </w:rPr>
        <w:t xml:space="preserve">Reasonable temporary housing costs during repair.</w:t>
      </w:r>
    </w:p>
    <w:p>
      <w:pPr>
        <w:pStyle w:val="ListParagraph"/>
        <w:numPr>
          <w:ilvl w:val="0"/>
          <w:numId w:val="2"/>
        </w:numPr>
        <w:spacing w:after="40" w:before="40" w:line="280"/>
      </w:pPr>
      <w:r>
        <w:rPr>
          <w:rFonts w:ascii="Calibri" w:cs="Calibri" w:eastAsia="Calibri" w:hAnsi="Calibri"/>
          <w:color w:val="2B2B2B"/>
          <w:sz w:val="22"/>
          <w:szCs w:val="22"/>
        </w:rPr>
        <w:t xml:space="preserve">Reduction in current market value of the residence after the defect has been repaired.</w:t>
      </w:r>
    </w:p>
    <w:p>
      <w:pPr>
        <w:spacing w:after="80" w:before="80" w:line="300"/>
        <w:jc w:val="left"/>
      </w:pPr>
      <w:r>
        <w:rPr>
          <w:rFonts w:ascii="Calibri" w:cs="Calibri" w:eastAsia="Calibri" w:hAnsi="Calibri"/>
          <w:b w:val="false"/>
          <w:bCs w:val="false"/>
          <w:i w:val="false"/>
          <w:iCs w:val="false"/>
          <w:color w:val="2B2B2B"/>
          <w:sz w:val="22"/>
          <w:szCs w:val="22"/>
        </w:rPr>
        <w:t xml:space="preserve">Reasonable attorney's fees are recoverable under a separate provision of Chapter 27, but only when the contractor fails to make a reasonable offer or fails to complete agreed-upon repairs — they are not enumerated within § 27.004(g)(1)–(5). The RCLA supersedes to the extent of conflict with the DTPA. When the homeowner's complaint is a construction defect at a residence, the DTPA's mental-anguish and treble-damages multipliers are typically unavailable because the recovery is capped to the listed categories. Those multipliers become available only when the contractor fails to comply with the RCLA process or when the conduct falls outside what the RCLA defines as a construction defect (for example, pure misrepresentation about lot title, financing terms, or HOA status).</w:t>
      </w:r>
    </w:p>
    <w:p>
      <w:pPr>
        <w:pStyle w:val="Heading2"/>
        <w:keepNext/>
        <w:spacing w:after="120" w:before="260"/>
      </w:pPr>
      <w:r>
        <w:rPr>
          <w:rFonts w:ascii="Calibri" w:cs="Calibri" w:eastAsia="Calibri" w:hAnsi="Calibri"/>
          <w:b/>
          <w:bCs/>
          <w:color w:val="2B2B2B"/>
          <w:sz w:val="28"/>
          <w:szCs w:val="28"/>
        </w:rPr>
        <w:t xml:space="preserve">Contract disclosure — § 27.007 has been repealed</w:t>
      </w:r>
    </w:p>
    <w:p>
      <w:pPr>
        <w:spacing w:after="80" w:before="80" w:line="300"/>
        <w:jc w:val="left"/>
      </w:pPr>
      <w:r>
        <w:rPr>
          <w:rFonts w:ascii="Calibri" w:cs="Calibri" w:eastAsia="Calibri" w:hAnsi="Calibri"/>
          <w:b w:val="false"/>
          <w:bCs w:val="false"/>
          <w:i w:val="false"/>
          <w:iCs w:val="false"/>
          <w:color w:val="2B2B2B"/>
          <w:sz w:val="22"/>
          <w:szCs w:val="22"/>
        </w:rPr>
        <w:t xml:space="preserve">Section 27.007 historically required every residential construction contract to contain a conspicuous 10-point bold-face notice telling the homeowner that Chapter 27 governs claims and that 60 days' written notice is required before suit, with a $500 statutory penalty for omission. Section 27.007 was repealed effective September 1, 2023 by HB 2022 (88th Legislature). The disclosure requirement and statutory penalty no longer apply to contracts entered into on or after that date. For contracts signed before September 1, 2023, the prior version may still be relevant on a transitional basis — counsel should consult the version of the statute in force at the time of contracting.</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5. The Deceptive Trade Practices Act (DTPA)</w:t>
      </w:r>
    </w:p>
    <w:p>
      <w:pPr>
        <w:spacing w:after="80" w:before="80" w:line="300"/>
        <w:jc w:val="left"/>
      </w:pPr>
      <w:r>
        <w:rPr>
          <w:rFonts w:ascii="Calibri" w:cs="Calibri" w:eastAsia="Calibri" w:hAnsi="Calibri"/>
          <w:b/>
          <w:bCs/>
          <w:i w:val="false"/>
          <w:iCs w:val="false"/>
          <w:color w:val="2B2B2B"/>
          <w:sz w:val="22"/>
          <w:szCs w:val="22"/>
        </w:rPr>
        <w:t xml:space="preserve">Application to new-home transactions. </w:t>
      </w:r>
      <w:r>
        <w:rPr>
          <w:rFonts w:ascii="Calibri" w:cs="Calibri" w:eastAsia="Calibri" w:hAnsi="Calibri"/>
          <w:color w:val="2B2B2B"/>
          <w:sz w:val="22"/>
          <w:szCs w:val="22"/>
        </w:rPr>
        <w:t xml:space="preserve">Yes — Texas courts have consistently held that a residential homebuyer is a consumer under § 17.45(4) and that a newly built home is a good for DTPA purposes. </w:t>
      </w:r>
      <w:r>
        <w:rPr>
          <w:rFonts w:ascii="Calibri" w:cs="Calibri" w:eastAsia="Calibri" w:hAnsi="Calibri"/>
          <w:b w:val="false"/>
          <w:bCs w:val="false"/>
          <w:i/>
          <w:iCs/>
          <w:color w:val="2B2B2B"/>
          <w:sz w:val="22"/>
          <w:szCs w:val="22"/>
        </w:rPr>
        <w:t xml:space="preserve">Melody Home Mfg. Co. v. Barnes</w:t>
      </w:r>
      <w:r>
        <w:rPr>
          <w:rFonts w:ascii="Calibri" w:cs="Calibri" w:eastAsia="Calibri" w:hAnsi="Calibri"/>
          <w:color w:val="2B2B2B"/>
          <w:sz w:val="22"/>
          <w:szCs w:val="22"/>
        </w:rPr>
        <w:t xml:space="preserve">, 741 S.W.2d 349 (Tex. 1987), and </w:t>
      </w:r>
      <w:r>
        <w:rPr>
          <w:rFonts w:ascii="Calibri" w:cs="Calibri" w:eastAsia="Calibri" w:hAnsi="Calibri"/>
          <w:b w:val="false"/>
          <w:bCs w:val="false"/>
          <w:i/>
          <w:iCs/>
          <w:color w:val="2B2B2B"/>
          <w:sz w:val="22"/>
          <w:szCs w:val="22"/>
        </w:rPr>
        <w:t xml:space="preserve">Centex Homes v. Buecher</w:t>
      </w:r>
      <w:r>
        <w:rPr>
          <w:rFonts w:ascii="Calibri" w:cs="Calibri" w:eastAsia="Calibri" w:hAnsi="Calibri"/>
          <w:color w:val="2B2B2B"/>
          <w:sz w:val="22"/>
          <w:szCs w:val="22"/>
        </w:rPr>
        <w:t xml:space="preserve">, 95 S.W.3d 266 (Tex. 2002), both involved DTPA causes of action overlaid on implied-warranty breaches.</w:t>
      </w:r>
    </w:p>
    <w:p>
      <w:pPr>
        <w:pStyle w:val="Heading2"/>
        <w:keepNext/>
        <w:spacing w:after="120" w:before="260"/>
      </w:pPr>
      <w:r>
        <w:rPr>
          <w:rFonts w:ascii="Calibri" w:cs="Calibri" w:eastAsia="Calibri" w:hAnsi="Calibri"/>
          <w:b/>
          <w:bCs/>
          <w:color w:val="2B2B2B"/>
          <w:sz w:val="28"/>
          <w:szCs w:val="28"/>
        </w:rPr>
        <w:t xml:space="preserve">Key provisions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Tex. Bus. &amp; Com. Code § 17.46(b) </w:t>
      </w:r>
      <w:r>
        <w:rPr>
          <w:rFonts w:ascii="Calibri" w:cs="Calibri" w:eastAsia="Calibri" w:hAnsi="Calibri"/>
          <w:color w:val="2B2B2B"/>
          <w:sz w:val="22"/>
          <w:szCs w:val="22"/>
        </w:rPr>
        <w:t xml:space="preserve">— the laundry list of deceptive acts: false representations about quality, characteristics, or uses; misrepresenting affiliation; failing to disclose known defects.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 17.50(a) </w:t>
      </w:r>
      <w:r>
        <w:rPr>
          <w:rFonts w:ascii="Calibri" w:cs="Calibri" w:eastAsia="Calibri" w:hAnsi="Calibri"/>
          <w:color w:val="2B2B2B"/>
          <w:sz w:val="22"/>
          <w:szCs w:val="22"/>
        </w:rPr>
        <w:t xml:space="preserve">— private right of action when a deceptive act, breach of warranty, or unconscionable act is a producing cause of economic damages or mental anguish.</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 17.505 </w:t>
      </w:r>
      <w:r>
        <w:rPr>
          <w:rFonts w:ascii="Calibri" w:cs="Calibri" w:eastAsia="Calibri" w:hAnsi="Calibri"/>
          <w:color w:val="2B2B2B"/>
          <w:sz w:val="22"/>
          <w:szCs w:val="22"/>
        </w:rPr>
        <w:t xml:space="preserve">— 60-day pre-suit notice required. The notice mirrors the RCLA timeline; combined RCLA / DTPA notices are standard practice. Notice must specify the complaint and damages claimed, including attorney's fees. Failure permits the defendant to abate the suit.</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 17.50(b) </w:t>
      </w:r>
      <w:r>
        <w:rPr>
          <w:rFonts w:ascii="Calibri" w:cs="Calibri" w:eastAsia="Calibri" w:hAnsi="Calibri"/>
          <w:color w:val="2B2B2B"/>
          <w:sz w:val="22"/>
          <w:szCs w:val="22"/>
        </w:rPr>
        <w:t xml:space="preserve">— damages: economic damages; mental anguish for knowing violations; up to three times economic damages for knowing conduct; up to three times mental anguish for intentional conduct.</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 17.50(d) </w:t>
      </w:r>
      <w:r>
        <w:rPr>
          <w:rFonts w:ascii="Calibri" w:cs="Calibri" w:eastAsia="Calibri" w:hAnsi="Calibri"/>
          <w:color w:val="2B2B2B"/>
          <w:sz w:val="22"/>
          <w:szCs w:val="22"/>
        </w:rPr>
        <w:t xml:space="preserve">— reasonable and necessary attorney's fees are mandatory for the prevailing consumer.</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 17.565 </w:t>
      </w:r>
      <w:r>
        <w:rPr>
          <w:rFonts w:ascii="Calibri" w:cs="Calibri" w:eastAsia="Calibri" w:hAnsi="Calibri"/>
          <w:color w:val="2B2B2B"/>
          <w:sz w:val="22"/>
          <w:szCs w:val="22"/>
        </w:rPr>
        <w:t xml:space="preserve">— 2-year statute of limitations from when the deceptive act occurred or the consumer discovered or should have discovered it. The 2-year window can be extended up to 180 days for fraudulent concealment.</w:t>
      </w:r>
    </w:p>
    <w:p>
      <w:pPr>
        <w:pStyle w:val="Heading2"/>
        <w:keepNext/>
        <w:spacing w:after="120" w:before="260"/>
      </w:pPr>
      <w:r>
        <w:rPr>
          <w:rFonts w:ascii="Calibri" w:cs="Calibri" w:eastAsia="Calibri" w:hAnsi="Calibri"/>
          <w:b/>
          <w:bCs/>
          <w:color w:val="2B2B2B"/>
          <w:sz w:val="28"/>
          <w:szCs w:val="28"/>
        </w:rPr>
        <w:t xml:space="preserve">The RCLA cap on DTPA recovery</w:t>
      </w:r>
    </w:p>
    <w:p>
      <w:pPr>
        <w:spacing w:after="80" w:before="80" w:line="300"/>
        <w:jc w:val="left"/>
      </w:pPr>
      <w:r>
        <w:rPr>
          <w:rFonts w:ascii="Calibri" w:cs="Calibri" w:eastAsia="Calibri" w:hAnsi="Calibri"/>
          <w:b w:val="false"/>
          <w:bCs w:val="false"/>
          <w:i w:val="false"/>
          <w:iCs w:val="false"/>
          <w:color w:val="2B2B2B"/>
          <w:sz w:val="22"/>
          <w:szCs w:val="22"/>
        </w:rPr>
        <w:t xml:space="preserve">When the underlying complaint is a construction defect at a residence, RCLA § 27.004(g) limits damages to the listed categories — repair cost, personal-property damage, engineering fees, temporary housing, post-repair diminution for structural defects, and attorney's fees. The DTPA's mental-anguish and treble-damages multipliers are effectively unavailable for construction defects unless the contractor (a) fails to make any reasonable offer, (b) fails to comply with an accepted settlement, or (c) the conduct falls outside what the RCLA defines as a construction defect. This is the most-misstated point in Texas homeowner-facing materials.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6. Statutes of Limitations and Repose</w:t>
      </w:r>
    </w:p>
    <w:p>
      <w:pPr>
        <w:spacing w:after="80" w:before="80" w:line="300"/>
        <w:jc w:val="left"/>
      </w:pPr>
      <w:r>
        <w:rPr>
          <w:rFonts w:ascii="Calibri" w:cs="Calibri" w:eastAsia="Calibri" w:hAnsi="Calibri"/>
          <w:b w:val="false"/>
          <w:bCs w:val="false"/>
          <w:i w:val="false"/>
          <w:iCs w:val="false"/>
          <w:color w:val="2B2B2B"/>
          <w:sz w:val="22"/>
          <w:szCs w:val="22"/>
        </w:rPr>
        <w:t xml:space="preserve">Multiple clocks run in parallel. Whichever expires first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4000"/>
      </w:tblGrid>
      <w:tr>
        <w:trPr>
          <w:tblHeader/>
        </w:trPr>
        <w:tc>
          <w:tcPr>
            <w:tcW w:type="dxa" w:w="33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Theory of liability</w:t>
            </w:r>
          </w:p>
        </w:tc>
        <w:tc>
          <w:tcPr>
            <w:tcW w:type="dxa" w:w="2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Period</w:t>
            </w:r>
          </w:p>
        </w:tc>
        <w:tc>
          <w:tcPr>
            <w:tcW w:type="dxa" w:w="4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Trigger / accrual</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written contract / breach of implied warranty (residual catch-all)</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4 years (§ 16.051)</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accrual. Discovery rule applies for latent defects.</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Negligence / property damage</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 years (§ 16.003)</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accrual or discovery for latent defects.</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DTPA</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 years (§ 17.565)</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deceptive act or date the consumer discovered or should have discovered it. Extendable up to 180 days for fraudulent concealment.</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Statute of repose — default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10 years (§ 16.009)</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substantial completion. Absolute outer bar for actions against persons who construct or repair improvements to real property.</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Statute of repose — 1-2-6 alternative (post-HB 2024)</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6 years (§ 16.009 as amended)</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Applies to contracts signed on or after June 9, 2023 where the builder provides a qualifying 1-2-6 written warranty. Detached one-family, detached two-family, or townhouse up to three stories.</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Architect / engineer / interior designer / landscape architect repose</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10 years (§ 16.008)</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substantial completion. Same 2-year extension rule for timely written claims.</w:t>
            </w:r>
          </w:p>
        </w:tc>
      </w:tr>
    </w:tbl>
    <w:p>
      <w:pPr>
        <w:pStyle w:val="Heading2"/>
        <w:keepNext/>
        <w:spacing w:after="120" w:before="260"/>
      </w:pPr>
      <w:r>
        <w:rPr>
          <w:rFonts w:ascii="Calibri" w:cs="Calibri" w:eastAsia="Calibri" w:hAnsi="Calibri"/>
          <w:b/>
          <w:bCs/>
          <w:color w:val="2B2B2B"/>
          <w:sz w:val="28"/>
          <w:szCs w:val="28"/>
        </w:rPr>
        <w:t xml:space="preserve">The 1-2-6 written warranty alternative</w:t>
      </w:r>
    </w:p>
    <w:p>
      <w:pPr>
        <w:spacing w:after="80" w:before="80" w:line="300"/>
        <w:jc w:val="left"/>
      </w:pPr>
      <w:r>
        <w:rPr>
          <w:rFonts w:ascii="Calibri" w:cs="Calibri" w:eastAsia="Calibri" w:hAnsi="Calibri"/>
          <w:b w:val="false"/>
          <w:bCs w:val="false"/>
          <w:i w:val="false"/>
          <w:iCs w:val="false"/>
          <w:color w:val="2B2B2B"/>
          <w:sz w:val="22"/>
          <w:szCs w:val="22"/>
        </w:rPr>
        <w:t xml:space="preserve">House Bill 2024 (88th Legislature, effective June 9, 2023) created an alternative statute of repose for residential homebuilders. For contracts signed on or after the effective date, the repose period is shortened to 6 years if the builder provides a qualifying 1-2-6 written warranty: 1 year for workmanship and materials, 2 years for plumbing, electrical, and HVAC delivery systems, and 6 years for major structural components. Eligible properties are detached one-family dwellings, detached two-family dwellings, and townhouses up to three stories with separate egress (condominiums within those categories count). Without a qualifying 1-2-6 warranty, the default 10-year repose under § 16.009 still applies. Counsel intake should always ask whether a 1-2-6 warranty was issued.</w:t>
      </w:r>
    </w:p>
    <w:p>
      <w:pPr>
        <w:pStyle w:val="Heading2"/>
        <w:keepNext/>
        <w:spacing w:after="120" w:before="260"/>
      </w:pPr>
      <w:r>
        <w:rPr>
          <w:rFonts w:ascii="Calibri" w:cs="Calibri" w:eastAsia="Calibri" w:hAnsi="Calibri"/>
          <w:b/>
          <w:bCs/>
          <w:color w:val="2B2B2B"/>
          <w:sz w:val="28"/>
          <w:szCs w:val="28"/>
        </w:rPr>
        <w:t xml:space="preserve">Extension for timely written claims</w:t>
      </w:r>
    </w:p>
    <w:p>
      <w:pPr>
        <w:spacing w:after="80" w:before="80" w:line="300"/>
        <w:jc w:val="left"/>
      </w:pPr>
      <w:r>
        <w:rPr>
          <w:rFonts w:ascii="Calibri" w:cs="Calibri" w:eastAsia="Calibri" w:hAnsi="Calibri"/>
          <w:b w:val="false"/>
          <w:bCs w:val="false"/>
          <w:i w:val="false"/>
          <w:iCs w:val="false"/>
          <w:color w:val="2B2B2B"/>
          <w:sz w:val="22"/>
          <w:szCs w:val="22"/>
        </w:rPr>
        <w:t xml:space="preserve">Both § 16.008 and § 16.009 extend the repose period by 2 years where a written claim for damages, contribution, or indemnity is presented to the defendant within the original period. This is a meaningful tool — a documented written claim within the 6-year or 10-year window adds two years to the outer wall.</w:t>
      </w:r>
    </w:p>
    <w:p>
      <w:pPr>
        <w:pStyle w:val="Heading2"/>
        <w:keepNext/>
        <w:spacing w:after="120" w:before="260"/>
      </w:pPr>
      <w:r>
        <w:rPr>
          <w:rFonts w:ascii="Calibri" w:cs="Calibri" w:eastAsia="Calibri" w:hAnsi="Calibri"/>
          <w:b/>
          <w:bCs/>
          <w:color w:val="2B2B2B"/>
          <w:sz w:val="28"/>
          <w:szCs w:val="28"/>
        </w:rPr>
        <w:t xml:space="preserve">Discovery rule for latent defects</w:t>
      </w:r>
    </w:p>
    <w:p>
      <w:pPr>
        <w:spacing w:after="80" w:before="80" w:line="300"/>
        <w:jc w:val="left"/>
      </w:pPr>
      <w:r>
        <w:rPr>
          <w:rFonts w:ascii="Calibri" w:cs="Calibri" w:eastAsia="Calibri" w:hAnsi="Calibri"/>
          <w:b w:val="false"/>
          <w:bCs w:val="false"/>
          <w:i w:val="false"/>
          <w:iCs w:val="false"/>
          <w:color w:val="2B2B2B"/>
          <w:sz w:val="22"/>
          <w:szCs w:val="22"/>
        </w:rPr>
        <w:t xml:space="preserve">Texas applies a discovery rule to latent construction defects under both common-law negligence and the DTPA. The clock runs from when the homeowner knew or, in the exercise of reasonable diligence, should have discovered the defect. The statutes of repose are absolute outer ceilings that limit the discovery rule's reach.</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7. Complaint Channels</w:t>
      </w:r>
    </w:p>
    <w:p>
      <w:pPr>
        <w:pStyle w:val="Heading2"/>
        <w:keepNext/>
        <w:spacing w:after="120" w:before="260"/>
      </w:pPr>
      <w:r>
        <w:rPr>
          <w:rFonts w:ascii="Calibri" w:cs="Calibri" w:eastAsia="Calibri" w:hAnsi="Calibri"/>
          <w:b/>
          <w:bCs/>
          <w:color w:val="2B2B2B"/>
          <w:sz w:val="28"/>
          <w:szCs w:val="28"/>
        </w:rPr>
        <w:t xml:space="preserve">Texas Department of Licensing and Regulation (TDLR)</w:t>
      </w:r>
    </w:p>
    <w:p>
      <w:pPr>
        <w:spacing w:after="80" w:before="80" w:line="300"/>
        <w:jc w:val="left"/>
      </w:pPr>
      <w:r>
        <w:rPr>
          <w:rFonts w:ascii="Calibri" w:cs="Calibri" w:eastAsia="Calibri" w:hAnsi="Calibri"/>
          <w:b w:val="false"/>
          <w:bCs w:val="false"/>
          <w:i w:val="false"/>
          <w:iCs w:val="false"/>
          <w:color w:val="2B2B2B"/>
          <w:sz w:val="22"/>
          <w:szCs w:val="22"/>
        </w:rPr>
        <w:t xml:space="preserve">Texas does not license residential general contractors at the state level. TDLR licenses specialty trades: electricians, HVAC contractors, elevator installers, fire-protection sprinkler installers, mold remediators, and well drillers. Complaints against licensees in these trades can result in fines, license suspension, or revocation.</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License lookup and complaint filing: </w:t>
      </w:r>
      <w:hyperlink w:history="1" r:id="rIdpznhowhrptakcxyrnbyix">
        <w:r>
          <w:rPr>
            <w:rFonts w:ascii="Calibri" w:cs="Calibri" w:eastAsia="Calibri" w:hAnsi="Calibri"/>
            <w:color w:val="1F3A68"/>
            <w:sz w:val="22"/>
            <w:szCs w:val="22"/>
            <w:u w:val="single"/>
          </w:rPr>
          <w:t xml:space="preserve">tdlr.texas.gov</w:t>
        </w:r>
      </w:hyperlink>
      <w:r>
        <w:rPr>
          <w:rFonts w:ascii="Calibri" w:cs="Calibri" w:eastAsia="Calibri" w:hAnsi="Calibri"/>
          <w:color w:val="2B2B2B"/>
          <w:sz w:val="22"/>
          <w:szCs w:val="22"/>
        </w:rPr>
        <w:t xml:space="preserve">.</w:t>
      </w:r>
    </w:p>
    <w:p>
      <w:pPr>
        <w:pStyle w:val="Heading2"/>
        <w:keepNext/>
        <w:spacing w:after="120" w:before="260"/>
      </w:pPr>
      <w:r>
        <w:rPr>
          <w:rFonts w:ascii="Calibri" w:cs="Calibri" w:eastAsia="Calibri" w:hAnsi="Calibri"/>
          <w:b/>
          <w:bCs/>
          <w:color w:val="2B2B2B"/>
          <w:sz w:val="28"/>
          <w:szCs w:val="28"/>
        </w:rPr>
        <w:t xml:space="preserve">Texas State Board of Plumbing Examiners (TSBPE)</w:t>
      </w:r>
    </w:p>
    <w:p>
      <w:pPr>
        <w:spacing w:after="80" w:before="80" w:line="300"/>
        <w:jc w:val="left"/>
      </w:pPr>
      <w:r>
        <w:rPr>
          <w:rFonts w:ascii="Calibri" w:cs="Calibri" w:eastAsia="Calibri" w:hAnsi="Calibri"/>
          <w:b w:val="false"/>
          <w:bCs w:val="false"/>
          <w:i w:val="false"/>
          <w:iCs w:val="false"/>
          <w:color w:val="2B2B2B"/>
          <w:sz w:val="22"/>
          <w:szCs w:val="22"/>
        </w:rPr>
        <w:t xml:space="preserve">Plumbers are licensed separately by TSBPE. Complaints against licensed plumbers may result in disciplinary action.</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License lookup and complaint filing: </w:t>
      </w:r>
      <w:hyperlink w:history="1" r:id="rIdywky_fn3vz8f-we1mm-lw">
        <w:r>
          <w:rPr>
            <w:rFonts w:ascii="Calibri" w:cs="Calibri" w:eastAsia="Calibri" w:hAnsi="Calibri"/>
            <w:color w:val="1F3A68"/>
            <w:sz w:val="22"/>
            <w:szCs w:val="22"/>
            <w:u w:val="single"/>
          </w:rPr>
          <w:t xml:space="preserve">tsbpe.texas.gov</w:t>
        </w:r>
      </w:hyperlink>
      <w:r>
        <w:rPr>
          <w:rFonts w:ascii="Calibri" w:cs="Calibri" w:eastAsia="Calibri" w:hAnsi="Calibri"/>
          <w:color w:val="2B2B2B"/>
          <w:sz w:val="22"/>
          <w:szCs w:val="22"/>
        </w:rPr>
        <w:t xml:space="preserve">.</w:t>
      </w:r>
    </w:p>
    <w:p>
      <w:pPr>
        <w:pStyle w:val="Heading2"/>
        <w:keepNext/>
        <w:spacing w:after="120" w:before="260"/>
      </w:pPr>
      <w:r>
        <w:rPr>
          <w:rFonts w:ascii="Calibri" w:cs="Calibri" w:eastAsia="Calibri" w:hAnsi="Calibri"/>
          <w:b/>
          <w:bCs/>
          <w:color w:val="2B2B2B"/>
          <w:sz w:val="28"/>
          <w:szCs w:val="28"/>
        </w:rPr>
        <w:t xml:space="preserve">Texas Attorney General — Consumer Protection Division</w:t>
      </w:r>
    </w:p>
    <w:p>
      <w:pPr>
        <w:spacing w:after="80" w:before="80" w:line="300"/>
        <w:jc w:val="left"/>
      </w:pPr>
      <w:r>
        <w:rPr>
          <w:rFonts w:ascii="Calibri" w:cs="Calibri" w:eastAsia="Calibri" w:hAnsi="Calibri"/>
          <w:b w:val="false"/>
          <w:bCs w:val="false"/>
          <w:i w:val="false"/>
          <w:iCs w:val="false"/>
          <w:color w:val="2B2B2B"/>
          <w:sz w:val="22"/>
          <w:szCs w:val="22"/>
        </w:rPr>
        <w:t xml:space="preserve">Handles DTPA referrals, deceptive-trade-practice patterns, and consumer complaints. The Consumer Protection Division does not litigate individual cases but maintains complaint records and may pursue enforcement actions. The AG also publishes consumer-protection guidance, including for home builders and contractors.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Online complaint and consumer information: </w:t>
      </w:r>
      <w:hyperlink w:history="1" r:id="rIdiwbxjctinq1ly82esoj5r">
        <w:r>
          <w:rPr>
            <w:rFonts w:ascii="Calibri" w:cs="Calibri" w:eastAsia="Calibri" w:hAnsi="Calibri"/>
            <w:color w:val="1F3A68"/>
            <w:sz w:val="22"/>
            <w:szCs w:val="22"/>
            <w:u w:val="single"/>
          </w:rPr>
          <w:t xml:space="preserve">texasattorneygeneral.gov consumer protection</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Hotline: </w:t>
      </w:r>
      <w:r>
        <w:rPr>
          <w:rFonts w:ascii="Calibri" w:cs="Calibri" w:eastAsia="Calibri" w:hAnsi="Calibri"/>
          <w:color w:val="2B2B2B"/>
          <w:sz w:val="22"/>
          <w:szCs w:val="22"/>
        </w:rPr>
        <w:t xml:space="preserve">1-800-621-0508.</w:t>
      </w:r>
    </w:p>
    <w:p>
      <w:pPr>
        <w:pStyle w:val="Heading2"/>
        <w:keepNext/>
        <w:spacing w:after="120" w:before="260"/>
      </w:pPr>
      <w:r>
        <w:rPr>
          <w:rFonts w:ascii="Calibri" w:cs="Calibri" w:eastAsia="Calibri" w:hAnsi="Calibri"/>
          <w:b/>
          <w:bCs/>
          <w:color w:val="2B2B2B"/>
          <w:sz w:val="28"/>
          <w:szCs w:val="28"/>
        </w:rPr>
        <w:t xml:space="preserve">Local building code enforcement</w:t>
      </w:r>
    </w:p>
    <w:p>
      <w:pPr>
        <w:spacing w:after="80" w:before="80" w:line="300"/>
        <w:jc w:val="left"/>
      </w:pPr>
      <w:r>
        <w:rPr>
          <w:rFonts w:ascii="Calibri" w:cs="Calibri" w:eastAsia="Calibri" w:hAnsi="Calibri"/>
          <w:b w:val="false"/>
          <w:bCs w:val="false"/>
          <w:i w:val="false"/>
          <w:iCs w:val="false"/>
          <w:color w:val="2B2B2B"/>
          <w:sz w:val="22"/>
          <w:szCs w:val="22"/>
        </w:rPr>
        <w:t xml:space="preserve">Permits and inspections are administered at the local level under the International Residential Code with Texas amendments. The City of Houston, City of Dallas, City of San Antonio, City of Austin, and most municipalities require trade-specific licensing and issue building permits. Code-violation complaints can trigger re-inspection, stop-work orders, or certificate-of-occupancy revocation. There is no statewide residential building code authority comparable to many other states.</w:t>
      </w:r>
    </w:p>
    <w:p>
      <w:pPr>
        <w:pStyle w:val="Heading2"/>
        <w:keepNext/>
        <w:spacing w:after="120" w:before="260"/>
      </w:pPr>
      <w:r>
        <w:rPr>
          <w:rFonts w:ascii="Calibri" w:cs="Calibri" w:eastAsia="Calibri" w:hAnsi="Calibri"/>
          <w:b/>
          <w:bCs/>
          <w:color w:val="2B2B2B"/>
          <w:sz w:val="28"/>
          <w:szCs w:val="28"/>
        </w:rPr>
        <w:t xml:space="preserve">Industry associations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Texas Association of Builders: </w:t>
      </w:r>
      <w:hyperlink w:history="1" r:id="rIdsa7f_daqxpluxzlsykhjs">
        <w:r>
          <w:rPr>
            <w:rFonts w:ascii="Calibri" w:cs="Calibri" w:eastAsia="Calibri" w:hAnsi="Calibri"/>
            <w:color w:val="1F3A68"/>
            <w:sz w:val="22"/>
            <w:szCs w:val="22"/>
            <w:u w:val="single"/>
          </w:rPr>
          <w:t xml:space="preserve">texasbuilders.org</w:t>
        </w:r>
      </w:hyperlink>
      <w:r>
        <w:rPr>
          <w:rFonts w:ascii="Calibri" w:cs="Calibri" w:eastAsia="Calibri" w:hAnsi="Calibri"/>
          <w:color w:val="2B2B2B"/>
          <w:sz w:val="22"/>
          <w:szCs w:val="22"/>
        </w:rPr>
        <w:t xml:space="preserve">. Local Home Builders Associations operate in major metros (Houston Greater Houston Builders Association, Dallas Builders Association, Greater Austin HBA, San Antonio HBA). Chapters do not generally run binding dispute-resolution programs but may provide informal mediation referrals.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Better Business Bureau: </w:t>
      </w:r>
      <w:hyperlink w:history="1" r:id="rIdhdvgimzg8uvfa94pjn-2h">
        <w:r>
          <w:rPr>
            <w:rFonts w:ascii="Calibri" w:cs="Calibri" w:eastAsia="Calibri" w:hAnsi="Calibri"/>
            <w:color w:val="1F3A68"/>
            <w:sz w:val="22"/>
            <w:szCs w:val="22"/>
            <w:u w:val="single"/>
          </w:rPr>
          <w:t xml:space="preserve">bbb.org</w:t>
        </w:r>
      </w:hyperlink>
      <w:r>
        <w:rPr>
          <w:rFonts w:ascii="Calibri" w:cs="Calibri" w:eastAsia="Calibri" w:hAnsi="Calibri"/>
          <w:color w:val="2B2B2B"/>
          <w:sz w:val="22"/>
          <w:szCs w:val="22"/>
        </w:rPr>
        <w:t xml:space="preserve">. Non-binding complaint and mediation services.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8. Court Jurisdiction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000"/>
        <w:gridCol w:w="2560"/>
      </w:tblGrid>
      <w:tr>
        <w:trPr>
          <w:tblHeader/>
        </w:trPr>
        <w:tc>
          <w:tcPr>
            <w:tcW w:type="dxa" w:w="24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Court</w:t>
            </w:r>
          </w:p>
        </w:tc>
        <w:tc>
          <w:tcPr>
            <w:tcW w:type="dxa" w:w="24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Dollar limit</w:t>
            </w:r>
          </w:p>
        </w:tc>
        <w:tc>
          <w:tcPr>
            <w:tcW w:type="dxa" w:w="2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Statute</w:t>
            </w:r>
          </w:p>
        </w:tc>
        <w:tc>
          <w:tcPr>
            <w:tcW w:type="dxa" w:w="25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Notes</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Justice Court (small claims)</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$20,000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Tex. Gov. Code § 27.031</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Raised from $10,000 effective September 1, 2020 (SB 2342). Exclusive of interest and costs.</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Constitutional County Court</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$500–$20,000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Tex. Const. art. V § 16</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Most counties have transferred their civil docket to statutory county courts at law.</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Statutory County Court at Law</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Up to $325,000 (effective September 1, 2025)</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Tex. Gov. Code Ch. 25</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Raised from $250,000 effective September 1, 2025. Limits vary by enabling statute for each county.</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District Court</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No upper limit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Tex. Const. art. V § 8</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Concurrent with county courts at lower amounts. Most meaningful defect cases land here.</w:t>
            </w:r>
          </w:p>
        </w:tc>
      </w:tr>
    </w:tbl>
    <w:p>
      <w:pPr>
        <w:spacing w:after="80" w:before="120" w:line="300"/>
        <w:jc w:val="left"/>
      </w:pPr>
      <w:r>
        <w:rPr>
          <w:rFonts w:ascii="Calibri" w:cs="Calibri" w:eastAsia="Calibri" w:hAnsi="Calibri"/>
          <w:b w:val="false"/>
          <w:bCs w:val="false"/>
          <w:i w:val="false"/>
          <w:iCs w:val="false"/>
          <w:color w:val="2B2B2B"/>
          <w:sz w:val="22"/>
          <w:szCs w:val="22"/>
        </w:rPr>
        <w:t xml:space="preserve">Venue is generally the county where the property sits, under the general venue rules of Tex. Civ. Prac. &amp; Rem. Code Ch. 15 — the RCLA does not impose a special venue rule (Tex. Prop. Code § 27.005 governs limitations on the chapter's effect, not venue).</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9. Damages</w:t>
      </w:r>
    </w:p>
    <w:p>
      <w:pPr>
        <w:pStyle w:val="Heading2"/>
        <w:keepNext/>
        <w:spacing w:after="120" w:before="260"/>
      </w:pPr>
      <w:r>
        <w:rPr>
          <w:rFonts w:ascii="Calibri" w:cs="Calibri" w:eastAsia="Calibri" w:hAnsi="Calibri"/>
          <w:b/>
          <w:bCs/>
          <w:color w:val="2B2B2B"/>
          <w:sz w:val="28"/>
          <w:szCs w:val="28"/>
        </w:rPr>
        <w:t xml:space="preserve">Repair cost and diminution in value</w:t>
      </w:r>
    </w:p>
    <w:p>
      <w:pPr>
        <w:spacing w:after="80" w:before="80" w:line="300"/>
        <w:jc w:val="left"/>
      </w:pPr>
      <w:r>
        <w:rPr>
          <w:rFonts w:ascii="Calibri" w:cs="Calibri" w:eastAsia="Calibri" w:hAnsi="Calibri"/>
          <w:b w:val="false"/>
          <w:bCs w:val="false"/>
          <w:i w:val="false"/>
          <w:iCs w:val="false"/>
          <w:color w:val="2B2B2B"/>
          <w:sz w:val="22"/>
          <w:szCs w:val="22"/>
        </w:rPr>
        <w:t xml:space="preserve">Cost of repair is the standard measure when repair is feasible without economic waste. Diminution in market value applies if the repair cost exceeds the value of restoration or if the defect cannot be repaired. Texas courts have generally chosen the lesser of the two unless the defect is structural — in which case both cost of repair and post-repair diminution may be recoverable. RCLA § 27.004(g) lists the categories that are recoverable in any residential construction-defect claim.</w:t>
      </w:r>
    </w:p>
    <w:p>
      <w:pPr>
        <w:pStyle w:val="Heading2"/>
        <w:keepNext/>
        <w:spacing w:after="120" w:before="260"/>
      </w:pPr>
      <w:r>
        <w:rPr>
          <w:rFonts w:ascii="Calibri" w:cs="Calibri" w:eastAsia="Calibri" w:hAnsi="Calibri"/>
          <w:b/>
          <w:bCs/>
          <w:color w:val="2B2B2B"/>
          <w:sz w:val="28"/>
          <w:szCs w:val="28"/>
        </w:rPr>
        <w:t xml:space="preserve">Consequential damages</w:t>
      </w:r>
    </w:p>
    <w:p>
      <w:pPr>
        <w:spacing w:after="80" w:before="80" w:line="300"/>
        <w:jc w:val="left"/>
      </w:pPr>
      <w:r>
        <w:rPr>
          <w:rFonts w:ascii="Calibri" w:cs="Calibri" w:eastAsia="Calibri" w:hAnsi="Calibri"/>
          <w:b w:val="false"/>
          <w:bCs w:val="false"/>
          <w:i w:val="false"/>
          <w:iCs w:val="false"/>
          <w:color w:val="2B2B2B"/>
          <w:sz w:val="22"/>
          <w:szCs w:val="22"/>
        </w:rPr>
        <w:t xml:space="preserve">Reasonable engineering and consulting fees are recoverable under RCLA § 27.004(g)(3). Temporary housing costs during repair are recoverable under § 27.004(g)(4). Personal-property replacement under § 27.004(g)(2). Mental anguish is generally not recoverable on a construction-defect claim because of the RCLA's damages cap, unless the contractor fails to comply with the RCLA process.</w:t>
      </w:r>
    </w:p>
    <w:p>
      <w:pPr>
        <w:pStyle w:val="Heading2"/>
        <w:keepNext/>
        <w:spacing w:after="120" w:before="260"/>
      </w:pPr>
      <w:r>
        <w:rPr>
          <w:rFonts w:ascii="Calibri" w:cs="Calibri" w:eastAsia="Calibri" w:hAnsi="Calibri"/>
          <w:b/>
          <w:bCs/>
          <w:color w:val="2B2B2B"/>
          <w:sz w:val="28"/>
          <w:szCs w:val="28"/>
        </w:rPr>
        <w:t xml:space="preserve">Attorney's fees</w:t>
      </w:r>
    </w:p>
    <w:p>
      <w:pPr>
        <w:pStyle w:val="ListParagraph"/>
        <w:numPr>
          <w:ilvl w:val="0"/>
          <w:numId w:val="2"/>
        </w:numPr>
        <w:spacing w:after="40" w:before="40" w:line="280"/>
      </w:pPr>
      <w:r>
        <w:rPr>
          <w:rFonts w:ascii="Calibri" w:cs="Calibri" w:eastAsia="Calibri" w:hAnsi="Calibri"/>
          <w:color w:val="2B2B2B"/>
          <w:sz w:val="22"/>
          <w:szCs w:val="22"/>
        </w:rPr>
        <w:t xml:space="preserve">DTPA § 17.50(d) — mandatory for the prevailing consumer.</w:t>
      </w:r>
    </w:p>
    <w:p>
      <w:pPr>
        <w:pStyle w:val="ListParagraph"/>
        <w:numPr>
          <w:ilvl w:val="0"/>
          <w:numId w:val="2"/>
        </w:numPr>
        <w:spacing w:after="40" w:before="40" w:line="280"/>
      </w:pPr>
      <w:r>
        <w:rPr>
          <w:rFonts w:ascii="Calibri" w:cs="Calibri" w:eastAsia="Calibri" w:hAnsi="Calibri"/>
          <w:color w:val="2B2B2B"/>
          <w:sz w:val="22"/>
          <w:szCs w:val="22"/>
        </w:rPr>
        <w:t xml:space="preserve">RCLA § 27.004(g)(6) — reasonable attorney's fees recoverable as part of the capped damages.</w:t>
      </w:r>
    </w:p>
    <w:p>
      <w:pPr>
        <w:pStyle w:val="ListParagraph"/>
        <w:numPr>
          <w:ilvl w:val="0"/>
          <w:numId w:val="2"/>
        </w:numPr>
        <w:spacing w:after="40" w:before="40" w:line="280"/>
      </w:pPr>
      <w:r>
        <w:rPr>
          <w:rFonts w:ascii="Calibri" w:cs="Calibri" w:eastAsia="Calibri" w:hAnsi="Calibri"/>
          <w:color w:val="2B2B2B"/>
          <w:sz w:val="22"/>
          <w:szCs w:val="22"/>
        </w:rPr>
        <w:t xml:space="preserve">Tex. Civ. Prac. &amp; Rem. Code § 38.001 — fees allowed for written contracts, services rendered, performed labor, and material furnished. The 2021 amendments expanded the list of recoverable defendants.</w:t>
      </w:r>
    </w:p>
    <w:p>
      <w:pPr>
        <w:pStyle w:val="Heading2"/>
        <w:keepNext/>
        <w:spacing w:after="120" w:before="260"/>
      </w:pPr>
      <w:r>
        <w:rPr>
          <w:rFonts w:ascii="Calibri" w:cs="Calibri" w:eastAsia="Calibri" w:hAnsi="Calibri"/>
          <w:b/>
          <w:bCs/>
          <w:color w:val="2B2B2B"/>
          <w:sz w:val="28"/>
          <w:szCs w:val="28"/>
        </w:rPr>
        <w:t xml:space="preserve">Exemplary (punitive) damages — § 41.008</w:t>
      </w:r>
    </w:p>
    <w:p>
      <w:pPr>
        <w:spacing w:after="80" w:before="80" w:line="300"/>
        <w:jc w:val="left"/>
      </w:pPr>
      <w:r>
        <w:rPr>
          <w:rFonts w:ascii="Calibri" w:cs="Calibri" w:eastAsia="Calibri" w:hAnsi="Calibri"/>
          <w:b w:val="false"/>
          <w:bCs w:val="false"/>
          <w:i w:val="false"/>
          <w:iCs w:val="false"/>
          <w:color w:val="2B2B2B"/>
          <w:sz w:val="22"/>
          <w:szCs w:val="22"/>
        </w:rPr>
        <w:t xml:space="preserve">Capped at the greater of $200,000 or two times economic damages plus noneconomic damages up to $750,000. The cap is lifted only for enumerated felony-grade conduct, which rarely applies in construction-defect cases. The DTPA's knowing and intentional multipliers (treble economic damages and treble mental anguish) operate within the DTPA's own structure and are subject to § 41.008 only as a constitutional or common-law backstop in extreme cases.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10. Pre-Suit Procedure and Demand Letter</w:t>
      </w:r>
    </w:p>
    <w:p>
      <w:pPr>
        <w:pStyle w:val="Heading2"/>
        <w:keepNext/>
        <w:spacing w:after="120" w:before="260"/>
      </w:pPr>
      <w:r>
        <w:rPr>
          <w:rFonts w:ascii="Calibri" w:cs="Calibri" w:eastAsia="Calibri" w:hAnsi="Calibri"/>
          <w:b/>
          <w:bCs/>
          <w:color w:val="2B2B2B"/>
          <w:sz w:val="28"/>
          <w:szCs w:val="28"/>
        </w:rPr>
        <w:t xml:space="preserve">The two-headed 60-day notice</w:t>
      </w:r>
    </w:p>
    <w:p>
      <w:pPr>
        <w:spacing w:after="80" w:before="80" w:line="300"/>
        <w:jc w:val="left"/>
      </w:pPr>
      <w:r>
        <w:rPr>
          <w:rFonts w:ascii="Calibri" w:cs="Calibri" w:eastAsia="Calibri" w:hAnsi="Calibri"/>
          <w:b w:val="false"/>
          <w:bCs w:val="false"/>
          <w:i w:val="false"/>
          <w:iCs w:val="false"/>
          <w:color w:val="2B2B2B"/>
          <w:sz w:val="22"/>
          <w:szCs w:val="22"/>
        </w:rPr>
        <w:t xml:space="preserve">Texas requires two parallel 60-day notices: one under RCLA § 27.004 and one under DTPA § 17.505. Standard practice is to combine them in a single letter that expressly invokes both statutes. Failing either triggers abatement. The notice must go by certified mail, return receipt requested, and must describe each defect in reasonable detail with any supporting evidence.</w:t>
      </w:r>
    </w:p>
    <w:p>
      <w:pPr>
        <w:pStyle w:val="Heading2"/>
        <w:keepNext/>
        <w:spacing w:after="120" w:before="260"/>
      </w:pPr>
      <w:r>
        <w:rPr>
          <w:rFonts w:ascii="Calibri" w:cs="Calibri" w:eastAsia="Calibri" w:hAnsi="Calibri"/>
          <w:b/>
          <w:bCs/>
          <w:color w:val="2B2B2B"/>
          <w:sz w:val="28"/>
          <w:szCs w:val="28"/>
        </w:rPr>
        <w:t xml:space="preserve">Recommended demand letter contents</w:t>
      </w:r>
    </w:p>
    <w:p>
      <w:pPr>
        <w:pStyle w:val="ListParagraph"/>
        <w:numPr>
          <w:ilvl w:val="0"/>
          <w:numId w:val="2"/>
        </w:numPr>
        <w:spacing w:after="40" w:before="40" w:line="280"/>
      </w:pPr>
      <w:r>
        <w:rPr>
          <w:rFonts w:ascii="Calibri" w:cs="Calibri" w:eastAsia="Calibri" w:hAnsi="Calibri"/>
          <w:color w:val="2B2B2B"/>
          <w:sz w:val="22"/>
          <w:szCs w:val="22"/>
        </w:rPr>
        <w:t xml:space="preserve">Homeowner's full legal name(s) and property address.</w:t>
      </w:r>
    </w:p>
    <w:p>
      <w:pPr>
        <w:pStyle w:val="ListParagraph"/>
        <w:numPr>
          <w:ilvl w:val="0"/>
          <w:numId w:val="2"/>
        </w:numPr>
        <w:spacing w:after="40" w:before="40" w:line="280"/>
      </w:pPr>
      <w:r>
        <w:rPr>
          <w:rFonts w:ascii="Calibri" w:cs="Calibri" w:eastAsia="Calibri" w:hAnsi="Calibri"/>
          <w:color w:val="2B2B2B"/>
          <w:sz w:val="22"/>
          <w:szCs w:val="22"/>
        </w:rPr>
        <w:t xml:space="preserve">Date of substantial completion and date of closing.</w:t>
      </w:r>
    </w:p>
    <w:p>
      <w:pPr>
        <w:pStyle w:val="ListParagraph"/>
        <w:numPr>
          <w:ilvl w:val="0"/>
          <w:numId w:val="2"/>
        </w:numPr>
        <w:spacing w:after="40" w:before="40" w:line="280"/>
      </w:pPr>
      <w:r>
        <w:rPr>
          <w:rFonts w:ascii="Calibri" w:cs="Calibri" w:eastAsia="Calibri" w:hAnsi="Calibri"/>
          <w:color w:val="2B2B2B"/>
          <w:sz w:val="22"/>
          <w:szCs w:val="22"/>
        </w:rPr>
        <w:t xml:space="preserve">Date the homeowner first noticed each defect.</w:t>
      </w:r>
    </w:p>
    <w:p>
      <w:pPr>
        <w:pStyle w:val="ListParagraph"/>
        <w:numPr>
          <w:ilvl w:val="0"/>
          <w:numId w:val="2"/>
        </w:numPr>
        <w:spacing w:after="40" w:before="40" w:line="280"/>
      </w:pPr>
      <w:r>
        <w:rPr>
          <w:rFonts w:ascii="Calibri" w:cs="Calibri" w:eastAsia="Calibri" w:hAnsi="Calibri"/>
          <w:color w:val="2B2B2B"/>
          <w:sz w:val="22"/>
          <w:szCs w:val="22"/>
        </w:rPr>
        <w:t xml:space="preserve">Identification of the contractor, any subcontractors, and any specialty trades. Note any TDLR or TSBPE license numbers (relevant only for specialty trades — Texas does not license general builders).</w:t>
      </w:r>
    </w:p>
    <w:p>
      <w:pPr>
        <w:pStyle w:val="ListParagraph"/>
        <w:numPr>
          <w:ilvl w:val="0"/>
          <w:numId w:val="2"/>
        </w:numPr>
        <w:spacing w:after="40" w:before="40" w:line="280"/>
      </w:pPr>
      <w:r>
        <w:rPr>
          <w:rFonts w:ascii="Calibri" w:cs="Calibri" w:eastAsia="Calibri" w:hAnsi="Calibri"/>
          <w:color w:val="2B2B2B"/>
          <w:sz w:val="22"/>
          <w:szCs w:val="22"/>
        </w:rPr>
        <w:t xml:space="preserve">Reasonably detailed description of each defect, with location, nature, observed symptoms, and any supporting evidence from inspection.</w:t>
      </w:r>
    </w:p>
    <w:p>
      <w:pPr>
        <w:pStyle w:val="ListParagraph"/>
        <w:numPr>
          <w:ilvl w:val="0"/>
          <w:numId w:val="2"/>
        </w:numPr>
        <w:spacing w:after="40" w:before="40" w:line="280"/>
      </w:pPr>
      <w:r>
        <w:rPr>
          <w:rFonts w:ascii="Calibri" w:cs="Calibri" w:eastAsia="Calibri" w:hAnsi="Calibri"/>
          <w:color w:val="2B2B2B"/>
          <w:sz w:val="22"/>
          <w:szCs w:val="22"/>
        </w:rPr>
        <w:t xml:space="preserve">For each defect, the legal theory being asserted (implied warranty under Humber/Centex, breach of written contract, DTPA, negligence).</w:t>
      </w:r>
    </w:p>
    <w:p>
      <w:pPr>
        <w:pStyle w:val="ListParagraph"/>
        <w:numPr>
          <w:ilvl w:val="0"/>
          <w:numId w:val="2"/>
        </w:numPr>
        <w:spacing w:after="40" w:before="40" w:line="280"/>
      </w:pPr>
      <w:r>
        <w:rPr>
          <w:rFonts w:ascii="Calibri" w:cs="Calibri" w:eastAsia="Calibri" w:hAnsi="Calibri"/>
          <w:color w:val="2B2B2B"/>
          <w:sz w:val="22"/>
          <w:szCs w:val="22"/>
        </w:rPr>
        <w:t xml:space="preserve">Any third-party inspection report (general home inspection, TREC-licensed inspector, structural engineer, master-trade specialist).</w:t>
      </w:r>
    </w:p>
    <w:p>
      <w:pPr>
        <w:pStyle w:val="ListParagraph"/>
        <w:numPr>
          <w:ilvl w:val="0"/>
          <w:numId w:val="2"/>
        </w:numPr>
        <w:spacing w:after="40" w:before="40" w:line="280"/>
      </w:pPr>
      <w:r>
        <w:rPr>
          <w:rFonts w:ascii="Calibri" w:cs="Calibri" w:eastAsia="Calibri" w:hAnsi="Calibri"/>
          <w:color w:val="2B2B2B"/>
          <w:sz w:val="22"/>
          <w:szCs w:val="22"/>
        </w:rPr>
        <w:t xml:space="preserve">Express invocation of Tex. Prop. Code § 27.004 (the RCLA 60-day notice) AND Tex. Bus. &amp; Com. Code § 17.505 (the DTPA 60-day notice). State that the contractor has 35 days to make a written request to inspect (up to three inspections) and 60 days to make a written settlement offer.</w:t>
      </w:r>
    </w:p>
    <w:p>
      <w:pPr>
        <w:pStyle w:val="ListParagraph"/>
        <w:numPr>
          <w:ilvl w:val="0"/>
          <w:numId w:val="2"/>
        </w:numPr>
        <w:spacing w:after="40" w:before="40" w:line="280"/>
      </w:pPr>
      <w:r>
        <w:rPr>
          <w:rFonts w:ascii="Calibri" w:cs="Calibri" w:eastAsia="Calibri" w:hAnsi="Calibri"/>
          <w:color w:val="2B2B2B"/>
          <w:sz w:val="22"/>
          <w:szCs w:val="22"/>
        </w:rPr>
        <w:t xml:space="preserve">A proposed inspection access protocol and reasonable dates.</w:t>
      </w:r>
    </w:p>
    <w:p>
      <w:pPr>
        <w:pStyle w:val="ListParagraph"/>
        <w:numPr>
          <w:ilvl w:val="0"/>
          <w:numId w:val="2"/>
        </w:numPr>
        <w:spacing w:after="40" w:before="40" w:line="280"/>
      </w:pPr>
      <w:r>
        <w:rPr>
          <w:rFonts w:ascii="Calibri" w:cs="Calibri" w:eastAsia="Calibri" w:hAnsi="Calibri"/>
          <w:color w:val="2B2B2B"/>
          <w:sz w:val="22"/>
          <w:szCs w:val="22"/>
        </w:rPr>
        <w:t xml:space="preserve">Statement of the remedy sought (repair by contractor, settlement by monetary payment or repair, or both) and a dollar figure where known.</w:t>
      </w:r>
    </w:p>
    <w:p>
      <w:pPr>
        <w:pStyle w:val="ListParagraph"/>
        <w:numPr>
          <w:ilvl w:val="0"/>
          <w:numId w:val="2"/>
        </w:numPr>
        <w:spacing w:after="40" w:before="40" w:line="280"/>
      </w:pPr>
      <w:r>
        <w:rPr>
          <w:rFonts w:ascii="Calibri" w:cs="Calibri" w:eastAsia="Calibri" w:hAnsi="Calibri"/>
          <w:color w:val="2B2B2B"/>
          <w:sz w:val="22"/>
          <w:szCs w:val="22"/>
        </w:rPr>
        <w:t xml:space="preserve">Reservation of all rights, including under the limited warranty, the DTPA mental-anguish and multiplier provisions, and any contractual fee-shifting provision.</w:t>
      </w:r>
    </w:p>
    <w:p>
      <w:pPr>
        <w:pStyle w:val="ListParagraph"/>
        <w:numPr>
          <w:ilvl w:val="0"/>
          <w:numId w:val="2"/>
        </w:numPr>
        <w:spacing w:after="40" w:before="40" w:line="280"/>
      </w:pPr>
      <w:r>
        <w:rPr>
          <w:rFonts w:ascii="Calibri" w:cs="Calibri" w:eastAsia="Calibri" w:hAnsi="Calibri"/>
          <w:color w:val="2B2B2B"/>
          <w:sz w:val="22"/>
          <w:szCs w:val="22"/>
        </w:rPr>
        <w:t xml:space="preserve">Signature and certified-mail tracking number.</w:t>
      </w:r>
    </w:p>
    <w:p>
      <w:pPr>
        <w:pStyle w:val="ListParagraph"/>
        <w:numPr>
          <w:ilvl w:val="0"/>
          <w:numId w:val="2"/>
        </w:numPr>
        <w:spacing w:after="40" w:before="40" w:line="280"/>
      </w:pPr>
      <w:r>
        <w:rPr>
          <w:rFonts w:ascii="Calibri" w:cs="Calibri" w:eastAsia="Calibri" w:hAnsi="Calibri"/>
          <w:color w:val="2B2B2B"/>
          <w:sz w:val="22"/>
          <w:szCs w:val="22"/>
        </w:rPr>
        <w:t xml:space="preserve">Attached evidence appendix — photo log, defect schedule, communications log, inspection report, builder's limited warranty book (to determine whether a 1-2-6 warranty was issued).</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11. Recommended Sequencing</w:t>
      </w:r>
    </w:p>
    <w:p>
      <w:pPr>
        <w:spacing w:after="80" w:before="80" w:line="300"/>
        <w:jc w:val="left"/>
      </w:pPr>
      <w:r>
        <w:rPr>
          <w:rFonts w:ascii="Calibri" w:cs="Calibri" w:eastAsia="Calibri" w:hAnsi="Calibri"/>
          <w:b w:val="false"/>
          <w:bCs w:val="false"/>
          <w:i w:val="false"/>
          <w:iCs w:val="false"/>
          <w:color w:val="2B2B2B"/>
          <w:sz w:val="22"/>
          <w:szCs w:val="22"/>
        </w:rPr>
        <w:t xml:space="preserve">This is a general sequencing template, not a fixed timeline. Specific deadlines depend on the date of substantial completion, the date the homeowner first noticed each defect, the terms of any limited warranty, and whether a 1-2-6 warranty was issued (which determines whether the 6-year or 10-year repose applies).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rPr>
          <w:tblHeader/>
        </w:trPr>
        <w:tc>
          <w:tcPr>
            <w:tcW w:type="dxa" w:w="15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w:t>
            </w:r>
          </w:p>
        </w:tc>
        <w:tc>
          <w:tcPr>
            <w:tcW w:type="dxa" w:w="78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Action</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0</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Homeowner first notices defect. Photograph and date-stamp. Save voicemails, texts, emails. Pull the closing package, the limited warranty book (determine whether it is a 1-2-6 warranty), the construction contract (look for § 27.007 RCLA disclosure), and any communications with the builder.</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0–7</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Third-party inspection — TREC-licensed home inspector, structural engineer, or master-trade specialist. Preserve original report, photographs, moisture-meter readings, and chain of custody.</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7–14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Engage Texas counsel. Provide intake form, photo log, communications log, inspection report, and limited warranty book.</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14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Serve the combined RCLA § 27.004 and DTPA § 17.505 60-day notice on the contractor (and any subcontractors) by certified mail, return receipt requested. The notice triggers both the 35-day inspection window and the 60-day offer window.</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14–49</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Contractor's 35-day inspection window runs under § 27.004. The contractor may inspect up to three times within that window. Provide reasonable access.</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14–74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Contractor's 60-day window to make a written settlement offer (to repair, to pay money, or both). If the contractor fails to make a reasonable offer, the RCLA's damage limitations no longer apply.</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74+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no acceptable resolution, file suit. Confirm: (1) the 2-year DTPA clock has not run from discovery; (2) the 4-year residual contract / warranty clock under § 16.051 is preserved; (3) the 10-year (default) or 6-year (1-2-6) repose under § 16.009 has not run. File TDLR or TSBPE complaints for specialty trades and an AG Consumer Protection Division complaint in parallel.</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At filing</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Justice Court for claims up to $20,000. Statutory County Court at Law for $20,000.01 up to $325,000 (effective September 1, 2025). District Court for claims over $325,000 or anywhere venue/discovery considerations favor it. Venue is the county where the property sits (§ 27.005).</w:t>
            </w:r>
          </w:p>
        </w:tc>
      </w:tr>
    </w:tbl>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12. Common Surprises and Misstatements</w:t>
      </w:r>
    </w:p>
    <w:p>
      <w:pPr>
        <w:pStyle w:val="ListParagraph"/>
        <w:numPr>
          <w:ilvl w:val="0"/>
          <w:numId w:val="3"/>
        </w:numPr>
        <w:spacing w:after="60" w:before="60" w:line="280"/>
      </w:pPr>
      <w:r>
        <w:rPr>
          <w:rFonts w:ascii="Calibri" w:cs="Calibri" w:eastAsia="Calibri" w:hAnsi="Calibri"/>
          <w:color w:val="2B2B2B"/>
          <w:sz w:val="22"/>
          <w:szCs w:val="22"/>
        </w:rPr>
        <w:t xml:space="preserve">The Texas Residential Construction Commission was abolished effective September 1, 2009. There is no state warranty registry, no state recovery fund, no state-administered dispute resolution program, and no statewide builder license. Homeowner materials that reference TRCC, SIRP, or state-registered builders are out of date. HB 2022 (effective September 1, 2023) was a cleanup bill removing remaining TRCC references from the RCLA.</w:t>
      </w:r>
    </w:p>
    <w:p>
      <w:pPr>
        <w:pStyle w:val="ListParagraph"/>
        <w:numPr>
          <w:ilvl w:val="0"/>
          <w:numId w:val="3"/>
        </w:numPr>
        <w:spacing w:after="60" w:before="60" w:line="280"/>
      </w:pPr>
      <w:r>
        <w:rPr>
          <w:rFonts w:ascii="Calibri" w:cs="Calibri" w:eastAsia="Calibri" w:hAnsi="Calibri"/>
          <w:color w:val="2B2B2B"/>
          <w:sz w:val="22"/>
          <w:szCs w:val="22"/>
        </w:rPr>
        <w:t xml:space="preserve">Texas recognizes two distinct implied warranties with different waiver rules. The implied warranty of habitability cannot be disclaimed (Centex Homes v. Buecher, 2002). The implied warranty of good and workmanlike construction can be superseded by a written contract that describes in sufficient detail how the builder is to perform. Boilerplate disclaimers are insufficient to waive either.</w:t>
      </w:r>
    </w:p>
    <w:p>
      <w:pPr>
        <w:pStyle w:val="ListParagraph"/>
        <w:numPr>
          <w:ilvl w:val="0"/>
          <w:numId w:val="3"/>
        </w:numPr>
        <w:spacing w:after="60" w:before="60" w:line="280"/>
      </w:pPr>
      <w:r>
        <w:rPr>
          <w:rFonts w:ascii="Calibri" w:cs="Calibri" w:eastAsia="Calibri" w:hAnsi="Calibri"/>
          <w:color w:val="2B2B2B"/>
          <w:sz w:val="22"/>
          <w:szCs w:val="22"/>
        </w:rPr>
        <w:t xml:space="preserve">HB 2024 (effective June 9, 2023) cut the statute of repose from 10 years to 6 years for builders providing a qualifying 1-2-6 written warranty (1 year workmanship / 2 years systems / 6 years major structural). For contracts signed before the effective date or without a qualifying 1-2-6 warranty, the default 10-year repose under § 16.009 still applies. Always check the limited warranty book at intake.</w:t>
      </w:r>
    </w:p>
    <w:p>
      <w:pPr>
        <w:pStyle w:val="ListParagraph"/>
        <w:numPr>
          <w:ilvl w:val="0"/>
          <w:numId w:val="3"/>
        </w:numPr>
        <w:spacing w:after="60" w:before="60" w:line="280"/>
      </w:pPr>
      <w:r>
        <w:rPr>
          <w:rFonts w:ascii="Calibri" w:cs="Calibri" w:eastAsia="Calibri" w:hAnsi="Calibri"/>
          <w:color w:val="2B2B2B"/>
          <w:sz w:val="22"/>
          <w:szCs w:val="22"/>
        </w:rPr>
        <w:t xml:space="preserve">The RCLA caps DTPA damages. Mental anguish and treble damages are typically unavailable on a pure construction-defect claim because § 27.004(g) limits recovery to repair cost, personal-property damage, engineering fees, temporary housing, post-repair diminution for structural defects, and attorney's fees. Those DTPA multipliers become available only when the contractor fails to comply with the RCLA process or when the conduct falls outside what the RCLA defines as a construction defect.</w:t>
      </w:r>
    </w:p>
    <w:p>
      <w:pPr>
        <w:pStyle w:val="ListParagraph"/>
        <w:numPr>
          <w:ilvl w:val="0"/>
          <w:numId w:val="3"/>
        </w:numPr>
        <w:spacing w:after="60" w:before="60" w:line="280"/>
      </w:pPr>
      <w:r>
        <w:rPr>
          <w:rFonts w:ascii="Calibri" w:cs="Calibri" w:eastAsia="Calibri" w:hAnsi="Calibri"/>
          <w:color w:val="2B2B2B"/>
          <w:sz w:val="22"/>
          <w:szCs w:val="22"/>
        </w:rPr>
        <w:t xml:space="preserve">Texas does not license residential general contractors at the state level. Specialty trades are licensed through TDLR (electricians, HVAC, elevator, fire-protection sprinkler, mold, well drilling) and the Texas State Board of Plumbing Examiners (plumbers). Some cities require trade registration but no city issues a comprehensive general-contractor license. Homeowners who assume the state vetted their builder are mistaken.</w:t>
      </w:r>
    </w:p>
    <w:p>
      <w:pPr>
        <w:pStyle w:val="ListParagraph"/>
        <w:numPr>
          <w:ilvl w:val="0"/>
          <w:numId w:val="3"/>
        </w:numPr>
        <w:spacing w:after="60" w:before="60" w:line="280"/>
      </w:pPr>
      <w:r>
        <w:rPr>
          <w:rFonts w:ascii="Calibri" w:cs="Calibri" w:eastAsia="Calibri" w:hAnsi="Calibri"/>
          <w:color w:val="2B2B2B"/>
          <w:sz w:val="22"/>
          <w:szCs w:val="22"/>
        </w:rPr>
        <w:t xml:space="preserve">Subsequent purchasers retain rights for latent defects (Gupta, 1983) but may be bound procedurally by the arbitration clause from the original purchase contract (Lennar Homes v. Whiteley, 2023). Counsel should check the original contract before assuming court will be available.</w:t>
      </w:r>
    </w:p>
    <w:p>
      <w:pPr>
        <w:pStyle w:val="ListParagraph"/>
        <w:numPr>
          <w:ilvl w:val="0"/>
          <w:numId w:val="3"/>
        </w:numPr>
        <w:spacing w:after="60" w:before="60" w:line="280"/>
      </w:pPr>
      <w:r>
        <w:rPr>
          <w:rFonts w:ascii="Calibri" w:cs="Calibri" w:eastAsia="Calibri" w:hAnsi="Calibri"/>
          <w:color w:val="2B2B2B"/>
          <w:sz w:val="22"/>
          <w:szCs w:val="22"/>
        </w:rPr>
        <w:t xml:space="preserve">Two parallel 60-day notices are required — one under RCLA § 27.004 and one under DTPA § 17.505. A combined notice is standard practice. Failing either triggers abatement. The case is paused, not dismissed, but the limitations clock keeps running.</w:t>
      </w:r>
    </w:p>
    <w:p>
      <w:pPr>
        <w:pStyle w:val="ListParagraph"/>
        <w:numPr>
          <w:ilvl w:val="0"/>
          <w:numId w:val="3"/>
        </w:numPr>
        <w:spacing w:after="60" w:before="60" w:line="280"/>
      </w:pPr>
      <w:r>
        <w:rPr>
          <w:rFonts w:ascii="Calibri" w:cs="Calibri" w:eastAsia="Calibri" w:hAnsi="Calibri"/>
          <w:color w:val="2B2B2B"/>
          <w:sz w:val="22"/>
          <w:szCs w:val="22"/>
        </w:rPr>
        <w:t xml:space="preserve">The contractor's 60-day offer window under RCLA was extended from 45 days by HB 2022, effective September 1, 2023. Materials still citing 45 days are out of date.</w:t>
      </w:r>
    </w:p>
    <w:p>
      <w:pPr>
        <w:pStyle w:val="ListParagraph"/>
        <w:numPr>
          <w:ilvl w:val="0"/>
          <w:numId w:val="3"/>
        </w:numPr>
        <w:spacing w:after="60" w:before="60" w:line="280"/>
      </w:pPr>
      <w:r>
        <w:rPr>
          <w:rFonts w:ascii="Calibri" w:cs="Calibri" w:eastAsia="Calibri" w:hAnsi="Calibri"/>
          <w:color w:val="2B2B2B"/>
          <w:sz w:val="22"/>
          <w:szCs w:val="22"/>
        </w:rPr>
        <w:t xml:space="preserve">The contractor's 35-day inspection window allows up to three inspections within that period (clarified by HB 2022). Homeowners often misunderstand this — multiple inspections are statutorily permitted.</w:t>
      </w:r>
    </w:p>
    <w:p>
      <w:pPr>
        <w:pStyle w:val="ListParagraph"/>
        <w:numPr>
          <w:ilvl w:val="0"/>
          <w:numId w:val="3"/>
        </w:numPr>
        <w:spacing w:after="60" w:before="60" w:line="280"/>
      </w:pPr>
      <w:r>
        <w:rPr>
          <w:rFonts w:ascii="Calibri" w:cs="Calibri" w:eastAsia="Calibri" w:hAnsi="Calibri"/>
          <w:color w:val="2B2B2B"/>
          <w:sz w:val="22"/>
          <w:szCs w:val="22"/>
        </w:rPr>
        <w:t xml:space="preserve">Statutory County Court at Law jurisdiction was raised from $250,000 to $325,000 effective September 1, 2025. Justice Court remains at $20,000 (raised from $10,000 in 2020). District Court has no upper limit.</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13. Authority Index</w:t>
      </w:r>
    </w:p>
    <w:p>
      <w:pPr>
        <w:pStyle w:val="Heading2"/>
        <w:keepNext/>
        <w:spacing w:after="120" w:before="260"/>
      </w:pPr>
      <w:r>
        <w:rPr>
          <w:rFonts w:ascii="Calibri" w:cs="Calibri" w:eastAsia="Calibri" w:hAnsi="Calibri"/>
          <w:b/>
          <w:bCs/>
          <w:color w:val="2B2B2B"/>
          <w:sz w:val="28"/>
          <w:szCs w:val="28"/>
        </w:rPr>
        <w:t xml:space="preserve">Texas statutes</w:t>
      </w:r>
    </w:p>
    <w:p>
      <w:pPr>
        <w:pStyle w:val="ListParagraph"/>
        <w:numPr>
          <w:ilvl w:val="0"/>
          <w:numId w:val="2"/>
        </w:numPr>
        <w:spacing w:after="40" w:before="40" w:line="280"/>
      </w:pPr>
      <w:r>
        <w:rPr>
          <w:rFonts w:ascii="Calibri" w:cs="Calibri" w:eastAsia="Calibri" w:hAnsi="Calibri"/>
          <w:color w:val="2B2B2B"/>
          <w:sz w:val="22"/>
          <w:szCs w:val="22"/>
        </w:rPr>
        <w:t xml:space="preserve">Tex. Prop. Code Ch. 27 — Residential Construction Liability Act.  </w:t>
      </w:r>
      <w:hyperlink w:history="1" r:id="rIdaii0uaesgmnpgi5htmqk5">
        <w:r>
          <w:rPr>
            <w:rFonts w:ascii="Calibri" w:cs="Calibri" w:eastAsia="Calibri" w:hAnsi="Calibri"/>
            <w:color w:val="1F3A68"/>
            <w:sz w:val="22"/>
            <w:szCs w:val="22"/>
            <w:u w:val="single"/>
          </w:rPr>
          <w:t xml:space="preserve">statutes.capitol.texas.gov</w:t>
        </w:r>
      </w:hyperlink>
    </w:p>
    <w:p>
      <w:pPr>
        <w:pStyle w:val="ListParagraph"/>
        <w:numPr>
          <w:ilvl w:val="0"/>
          <w:numId w:val="2"/>
        </w:numPr>
        <w:spacing w:after="40" w:before="40" w:line="280"/>
      </w:pPr>
      <w:r>
        <w:rPr>
          <w:rFonts w:ascii="Calibri" w:cs="Calibri" w:eastAsia="Calibri" w:hAnsi="Calibri"/>
          <w:color w:val="2B2B2B"/>
          <w:sz w:val="22"/>
          <w:szCs w:val="22"/>
        </w:rPr>
        <w:t xml:space="preserve">Tex. Bus. &amp; Com. Code Ch. 17 — Deceptive Trade Practices Act.  </w:t>
      </w:r>
      <w:hyperlink w:history="1" r:id="rId5sfmbm8svlhircvwj_tts">
        <w:r>
          <w:rPr>
            <w:rFonts w:ascii="Calibri" w:cs="Calibri" w:eastAsia="Calibri" w:hAnsi="Calibri"/>
            <w:color w:val="1F3A68"/>
            <w:sz w:val="22"/>
            <w:szCs w:val="22"/>
            <w:u w:val="single"/>
          </w:rPr>
          <w:t xml:space="preserve">statutes.capitol.texas.gov</w:t>
        </w:r>
      </w:hyperlink>
    </w:p>
    <w:p>
      <w:pPr>
        <w:pStyle w:val="ListParagraph"/>
        <w:numPr>
          <w:ilvl w:val="0"/>
          <w:numId w:val="2"/>
        </w:numPr>
        <w:spacing w:after="40" w:before="40" w:line="280"/>
      </w:pPr>
      <w:r>
        <w:rPr>
          <w:rFonts w:ascii="Calibri" w:cs="Calibri" w:eastAsia="Calibri" w:hAnsi="Calibri"/>
          <w:color w:val="2B2B2B"/>
          <w:sz w:val="22"/>
          <w:szCs w:val="22"/>
        </w:rPr>
        <w:t xml:space="preserve">Tex. Civ. Prac. &amp; Rem. Code Ch. 15 — venue rules.  </w:t>
      </w:r>
      <w:hyperlink w:history="1" r:id="rIdymatrqs_clthtopuw5blc">
        <w:r>
          <w:rPr>
            <w:rFonts w:ascii="Calibri" w:cs="Calibri" w:eastAsia="Calibri" w:hAnsi="Calibri"/>
            <w:color w:val="1F3A68"/>
            <w:sz w:val="22"/>
            <w:szCs w:val="22"/>
            <w:u w:val="single"/>
          </w:rPr>
          <w:t xml:space="preserve">statutes.capitol.texas.gov</w:t>
        </w:r>
      </w:hyperlink>
    </w:p>
    <w:p>
      <w:pPr>
        <w:pStyle w:val="ListParagraph"/>
        <w:numPr>
          <w:ilvl w:val="0"/>
          <w:numId w:val="2"/>
        </w:numPr>
        <w:spacing w:after="40" w:before="40" w:line="280"/>
      </w:pPr>
      <w:r>
        <w:rPr>
          <w:rFonts w:ascii="Calibri" w:cs="Calibri" w:eastAsia="Calibri" w:hAnsi="Calibri"/>
          <w:color w:val="2B2B2B"/>
          <w:sz w:val="22"/>
          <w:szCs w:val="22"/>
        </w:rPr>
        <w:t xml:space="preserve">Tex. Civ. Prac. &amp; Rem. Code Ch. 16 — limitations and repose.  </w:t>
      </w:r>
      <w:hyperlink w:history="1" r:id="rId6k7rh2hmvehf7pjau4tbm">
        <w:r>
          <w:rPr>
            <w:rFonts w:ascii="Calibri" w:cs="Calibri" w:eastAsia="Calibri" w:hAnsi="Calibri"/>
            <w:color w:val="1F3A68"/>
            <w:sz w:val="22"/>
            <w:szCs w:val="22"/>
            <w:u w:val="single"/>
          </w:rPr>
          <w:t xml:space="preserve">statutes.capitol.texas.gov</w:t>
        </w:r>
      </w:hyperlink>
    </w:p>
    <w:p>
      <w:pPr>
        <w:pStyle w:val="ListParagraph"/>
        <w:numPr>
          <w:ilvl w:val="0"/>
          <w:numId w:val="2"/>
        </w:numPr>
        <w:spacing w:after="40" w:before="40" w:line="280"/>
      </w:pPr>
      <w:r>
        <w:rPr>
          <w:rFonts w:ascii="Calibri" w:cs="Calibri" w:eastAsia="Calibri" w:hAnsi="Calibri"/>
          <w:color w:val="2B2B2B"/>
          <w:sz w:val="22"/>
          <w:szCs w:val="22"/>
        </w:rPr>
        <w:t xml:space="preserve">Tex. Civ. Prac. &amp; Rem. Code § 16.009 — 10-year statute of repose for constructors of improvements to real property (or 6-year alternative under HB 2024 for builders providing a 1-2-6 warranty).  </w:t>
      </w:r>
      <w:hyperlink w:history="1" r:id="rIdgvy-8mrxsahi2phan4cja">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Tex. Civ. Prac. &amp; Rem. Code Ch. 38 — attorney's fees.  </w:t>
      </w:r>
      <w:hyperlink w:history="1" r:id="rIdhf1hm-ur7akfrb3ipxfpq">
        <w:r>
          <w:rPr>
            <w:rFonts w:ascii="Calibri" w:cs="Calibri" w:eastAsia="Calibri" w:hAnsi="Calibri"/>
            <w:color w:val="1F3A68"/>
            <w:sz w:val="22"/>
            <w:szCs w:val="22"/>
            <w:u w:val="single"/>
          </w:rPr>
          <w:t xml:space="preserve">statutes.capitol.texas.gov</w:t>
        </w:r>
      </w:hyperlink>
    </w:p>
    <w:p>
      <w:pPr>
        <w:pStyle w:val="ListParagraph"/>
        <w:numPr>
          <w:ilvl w:val="0"/>
          <w:numId w:val="2"/>
        </w:numPr>
        <w:spacing w:after="40" w:before="40" w:line="280"/>
      </w:pPr>
      <w:r>
        <w:rPr>
          <w:rFonts w:ascii="Calibri" w:cs="Calibri" w:eastAsia="Calibri" w:hAnsi="Calibri"/>
          <w:color w:val="2B2B2B"/>
          <w:sz w:val="22"/>
          <w:szCs w:val="22"/>
        </w:rPr>
        <w:t xml:space="preserve">Tex. Civ. Prac. &amp; Rem. Code Ch. 41 — exemplary damages cap.  </w:t>
      </w:r>
      <w:hyperlink w:history="1" r:id="rIdchxfcfhm9tp8_c6mdnfou">
        <w:r>
          <w:rPr>
            <w:rFonts w:ascii="Calibri" w:cs="Calibri" w:eastAsia="Calibri" w:hAnsi="Calibri"/>
            <w:color w:val="1F3A68"/>
            <w:sz w:val="22"/>
            <w:szCs w:val="22"/>
            <w:u w:val="single"/>
          </w:rPr>
          <w:t xml:space="preserve">statutes.capitol.texas.gov</w:t>
        </w:r>
      </w:hyperlink>
    </w:p>
    <w:p>
      <w:pPr>
        <w:pStyle w:val="ListParagraph"/>
        <w:numPr>
          <w:ilvl w:val="0"/>
          <w:numId w:val="2"/>
        </w:numPr>
        <w:spacing w:after="40" w:before="40" w:line="280"/>
      </w:pPr>
      <w:r>
        <w:rPr>
          <w:rFonts w:ascii="Calibri" w:cs="Calibri" w:eastAsia="Calibri" w:hAnsi="Calibri"/>
          <w:color w:val="2B2B2B"/>
          <w:sz w:val="22"/>
          <w:szCs w:val="22"/>
        </w:rPr>
        <w:t xml:space="preserve">Tex. Gov. Code Ch. 27 — Justice Court jurisdiction ($20,000).  </w:t>
      </w:r>
      <w:hyperlink w:history="1" r:id="rIdhsf3aoxhpbbswqvsolxf5">
        <w:r>
          <w:rPr>
            <w:rFonts w:ascii="Calibri" w:cs="Calibri" w:eastAsia="Calibri" w:hAnsi="Calibri"/>
            <w:color w:val="1F3A68"/>
            <w:sz w:val="22"/>
            <w:szCs w:val="22"/>
            <w:u w:val="single"/>
          </w:rPr>
          <w:t xml:space="preserve">statutes.capitol.texas.gov</w:t>
        </w:r>
      </w:hyperlink>
    </w:p>
    <w:p>
      <w:pPr>
        <w:pStyle w:val="ListParagraph"/>
        <w:numPr>
          <w:ilvl w:val="0"/>
          <w:numId w:val="2"/>
        </w:numPr>
        <w:spacing w:after="40" w:before="40" w:line="280"/>
      </w:pPr>
      <w:r>
        <w:rPr>
          <w:rFonts w:ascii="Calibri" w:cs="Calibri" w:eastAsia="Calibri" w:hAnsi="Calibri"/>
          <w:color w:val="2B2B2B"/>
          <w:sz w:val="22"/>
          <w:szCs w:val="22"/>
        </w:rPr>
        <w:t xml:space="preserve">Tex. Gov. Code Ch. 25 — Statutory County Courts at Law (raised to $325,000 effective September 1, 2025).  </w:t>
      </w:r>
      <w:hyperlink w:history="1" r:id="rIdkz-7hatlr6zwebym7aofm">
        <w:r>
          <w:rPr>
            <w:rFonts w:ascii="Calibri" w:cs="Calibri" w:eastAsia="Calibri" w:hAnsi="Calibri"/>
            <w:color w:val="1F3A68"/>
            <w:sz w:val="22"/>
            <w:szCs w:val="22"/>
            <w:u w:val="single"/>
          </w:rPr>
          <w:t xml:space="preserve">statutes.capitol.texas.gov</w:t>
        </w:r>
      </w:hyperlink>
    </w:p>
    <w:p>
      <w:pPr>
        <w:pStyle w:val="ListParagraph"/>
        <w:numPr>
          <w:ilvl w:val="0"/>
          <w:numId w:val="2"/>
        </w:numPr>
        <w:spacing w:after="40" w:before="40" w:line="280"/>
      </w:pPr>
      <w:r>
        <w:rPr>
          <w:rFonts w:ascii="Calibri" w:cs="Calibri" w:eastAsia="Calibri" w:hAnsi="Calibri"/>
          <w:color w:val="2B2B2B"/>
          <w:sz w:val="22"/>
          <w:szCs w:val="22"/>
        </w:rPr>
        <w:t xml:space="preserve">HB 2022 (88th Legislature, effective September 1, 2023) — RCLA cleanup, removes TRCC references, extends offer window to 60 days.  </w:t>
      </w:r>
      <w:hyperlink w:history="1" r:id="rIdwcnturbfid9stds9rrx33">
        <w:r>
          <w:rPr>
            <w:rFonts w:ascii="Calibri" w:cs="Calibri" w:eastAsia="Calibri" w:hAnsi="Calibri"/>
            <w:color w:val="1F3A68"/>
            <w:sz w:val="22"/>
            <w:szCs w:val="22"/>
            <w:u w:val="single"/>
          </w:rPr>
          <w:t xml:space="preserve">capitol.texas.gov</w:t>
        </w:r>
      </w:hyperlink>
    </w:p>
    <w:p>
      <w:pPr>
        <w:pStyle w:val="ListParagraph"/>
        <w:numPr>
          <w:ilvl w:val="0"/>
          <w:numId w:val="2"/>
        </w:numPr>
        <w:spacing w:after="40" w:before="40" w:line="280"/>
      </w:pPr>
      <w:r>
        <w:rPr>
          <w:rFonts w:ascii="Calibri" w:cs="Calibri" w:eastAsia="Calibri" w:hAnsi="Calibri"/>
          <w:color w:val="2B2B2B"/>
          <w:sz w:val="22"/>
          <w:szCs w:val="22"/>
        </w:rPr>
        <w:t xml:space="preserve">HB 2024 (88th Legislature, effective June 9, 2023) — 6-year statute of repose for builders providing a 1-2-6 written warranty.  </w:t>
      </w:r>
      <w:hyperlink w:history="1" r:id="rIdd_zokxek-cpwc3bxl3ulg">
        <w:r>
          <w:rPr>
            <w:rFonts w:ascii="Calibri" w:cs="Calibri" w:eastAsia="Calibri" w:hAnsi="Calibri"/>
            <w:color w:val="1F3A68"/>
            <w:sz w:val="22"/>
            <w:szCs w:val="22"/>
            <w:u w:val="single"/>
          </w:rPr>
          <w:t xml:space="preserve">capitol.texas.gov</w:t>
        </w:r>
      </w:hyperlink>
    </w:p>
    <w:p>
      <w:pPr>
        <w:pStyle w:val="Heading2"/>
        <w:keepNext/>
        <w:spacing w:after="120" w:before="260"/>
      </w:pPr>
      <w:r>
        <w:rPr>
          <w:rFonts w:ascii="Calibri" w:cs="Calibri" w:eastAsia="Calibri" w:hAnsi="Calibri"/>
          <w:b/>
          <w:bCs/>
          <w:color w:val="2B2B2B"/>
          <w:sz w:val="28"/>
          <w:szCs w:val="28"/>
        </w:rPr>
        <w:t xml:space="preserve">Texas case law</w:t>
      </w:r>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Humber v. Morton</w:t>
      </w:r>
      <w:r>
        <w:rPr>
          <w:rFonts w:ascii="Calibri" w:cs="Calibri" w:eastAsia="Calibri" w:hAnsi="Calibri"/>
          <w:color w:val="2B2B2B"/>
          <w:sz w:val="22"/>
          <w:szCs w:val="22"/>
        </w:rPr>
        <w:t xml:space="preserve">, 426 S.W.2d 554 (Tex. 1968) — foundational implied warranty case; abolishes caveat emptor.  </w:t>
      </w:r>
      <w:hyperlink w:history="1" r:id="rIdhvt_zi_jer8qbwyl9d7ej">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Gupta v. Ritter Homes, Inc.</w:t>
      </w:r>
      <w:r>
        <w:rPr>
          <w:rFonts w:ascii="Calibri" w:cs="Calibri" w:eastAsia="Calibri" w:hAnsi="Calibri"/>
          <w:color w:val="2B2B2B"/>
          <w:sz w:val="22"/>
          <w:szCs w:val="22"/>
        </w:rPr>
        <w:t xml:space="preserve">, 646 S.W.2d 168 (Tex. 1983) — extends implied warranties to subsequent purchasers.  </w:t>
      </w:r>
      <w:hyperlink w:history="1" r:id="rId9uvzmcryzhdb1_xjaby4t">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Melody Home Mfg. Co. v. Barnes</w:t>
      </w:r>
      <w:r>
        <w:rPr>
          <w:rFonts w:ascii="Calibri" w:cs="Calibri" w:eastAsia="Calibri" w:hAnsi="Calibri"/>
          <w:color w:val="2B2B2B"/>
          <w:sz w:val="22"/>
          <w:szCs w:val="22"/>
        </w:rPr>
        <w:t xml:space="preserve">, 741 S.W.2d 349 (Tex. 1987) — implied warranty of good and workmanlike repair services.  </w:t>
      </w:r>
      <w:hyperlink w:history="1" r:id="rIdwsh0ut5bde-vnphmkz2ks">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Centex Homes v. Buecher</w:t>
      </w:r>
      <w:r>
        <w:rPr>
          <w:rFonts w:ascii="Calibri" w:cs="Calibri" w:eastAsia="Calibri" w:hAnsi="Calibri"/>
          <w:color w:val="2B2B2B"/>
          <w:sz w:val="22"/>
          <w:szCs w:val="22"/>
        </w:rPr>
        <w:t xml:space="preserve">, 95 S.W.3d 266 (Tex. 2002) — habitability cannot be disclaimed; workmanship can be superseded by detailed written warranty.  </w:t>
      </w:r>
      <w:hyperlink w:history="1" r:id="rIdupx06pj5t_ibi7sunxfzs">
        <w:r>
          <w:rPr>
            <w:rFonts w:ascii="Calibri" w:cs="Calibri" w:eastAsia="Calibri" w:hAnsi="Calibri"/>
            <w:color w:val="1F3A68"/>
            <w:sz w:val="22"/>
            <w:szCs w:val="22"/>
            <w:u w:val="single"/>
          </w:rPr>
          <w:t xml:space="preserve">FindLaw</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Lennar Homes of Texas Land &amp; Constr., Ltd. v. Whiteley</w:t>
      </w:r>
      <w:r>
        <w:rPr>
          <w:rFonts w:ascii="Calibri" w:cs="Calibri" w:eastAsia="Calibri" w:hAnsi="Calibri"/>
          <w:color w:val="2B2B2B"/>
          <w:sz w:val="22"/>
          <w:szCs w:val="22"/>
        </w:rPr>
        <w:t xml:space="preserve">, 672 S.W.3d 367 (Tex. 2023) — subsequent purchaser bound by arbitration clause from original purchase agreement.</w:t>
      </w:r>
    </w:p>
    <w:p>
      <w:pPr>
        <w:pStyle w:val="Heading2"/>
        <w:keepNext/>
        <w:spacing w:after="120" w:before="260"/>
      </w:pPr>
      <w:r>
        <w:rPr>
          <w:rFonts w:ascii="Calibri" w:cs="Calibri" w:eastAsia="Calibri" w:hAnsi="Calibri"/>
          <w:b/>
          <w:bCs/>
          <w:color w:val="2B2B2B"/>
          <w:sz w:val="28"/>
          <w:szCs w:val="28"/>
        </w:rPr>
        <w:t xml:space="preserve">Agencies and resources</w:t>
      </w:r>
    </w:p>
    <w:p>
      <w:pPr>
        <w:pStyle w:val="ListParagraph"/>
        <w:numPr>
          <w:ilvl w:val="0"/>
          <w:numId w:val="2"/>
        </w:numPr>
        <w:spacing w:after="40" w:before="40" w:line="280"/>
      </w:pPr>
      <w:r>
        <w:rPr>
          <w:rFonts w:ascii="Calibri" w:cs="Calibri" w:eastAsia="Calibri" w:hAnsi="Calibri"/>
          <w:color w:val="2B2B2B"/>
          <w:sz w:val="22"/>
          <w:szCs w:val="22"/>
        </w:rPr>
        <w:t xml:space="preserve">Texas Department of Licensing and Regulation (TDLR).  </w:t>
      </w:r>
      <w:hyperlink w:history="1" r:id="rIdoqxep-pmuizmm57xt9pks">
        <w:r>
          <w:rPr>
            <w:rFonts w:ascii="Calibri" w:cs="Calibri" w:eastAsia="Calibri" w:hAnsi="Calibri"/>
            <w:color w:val="1F3A68"/>
            <w:sz w:val="22"/>
            <w:szCs w:val="22"/>
            <w:u w:val="single"/>
          </w:rPr>
          <w:t xml:space="preserve">tdlr.texas.gov</w:t>
        </w:r>
      </w:hyperlink>
    </w:p>
    <w:p>
      <w:pPr>
        <w:pStyle w:val="ListParagraph"/>
        <w:numPr>
          <w:ilvl w:val="0"/>
          <w:numId w:val="2"/>
        </w:numPr>
        <w:spacing w:after="40" w:before="40" w:line="280"/>
      </w:pPr>
      <w:r>
        <w:rPr>
          <w:rFonts w:ascii="Calibri" w:cs="Calibri" w:eastAsia="Calibri" w:hAnsi="Calibri"/>
          <w:color w:val="2B2B2B"/>
          <w:sz w:val="22"/>
          <w:szCs w:val="22"/>
        </w:rPr>
        <w:t xml:space="preserve">Texas State Board of Plumbing Examiners (TSBPE).  </w:t>
      </w:r>
      <w:hyperlink w:history="1" r:id="rIdxtetzodcyybntoznunize">
        <w:r>
          <w:rPr>
            <w:rFonts w:ascii="Calibri" w:cs="Calibri" w:eastAsia="Calibri" w:hAnsi="Calibri"/>
            <w:color w:val="1F3A68"/>
            <w:sz w:val="22"/>
            <w:szCs w:val="22"/>
            <w:u w:val="single"/>
          </w:rPr>
          <w:t xml:space="preserve">tsbpe.texas.gov</w:t>
        </w:r>
      </w:hyperlink>
    </w:p>
    <w:p>
      <w:pPr>
        <w:pStyle w:val="ListParagraph"/>
        <w:numPr>
          <w:ilvl w:val="0"/>
          <w:numId w:val="2"/>
        </w:numPr>
        <w:spacing w:after="40" w:before="40" w:line="280"/>
      </w:pPr>
      <w:r>
        <w:rPr>
          <w:rFonts w:ascii="Calibri" w:cs="Calibri" w:eastAsia="Calibri" w:hAnsi="Calibri"/>
          <w:color w:val="2B2B2B"/>
          <w:sz w:val="22"/>
          <w:szCs w:val="22"/>
        </w:rPr>
        <w:t xml:space="preserve">Texas Attorney General — Consumer Protection Division.  </w:t>
      </w:r>
      <w:hyperlink w:history="1" r:id="rIdzvkchti75_om6cnbty3ra">
        <w:r>
          <w:rPr>
            <w:rFonts w:ascii="Calibri" w:cs="Calibri" w:eastAsia="Calibri" w:hAnsi="Calibri"/>
            <w:color w:val="1F3A68"/>
            <w:sz w:val="22"/>
            <w:szCs w:val="22"/>
            <w:u w:val="single"/>
          </w:rPr>
          <w:t xml:space="preserve">texasattorneygeneral.gov</w:t>
        </w:r>
      </w:hyperlink>
    </w:p>
    <w:p>
      <w:pPr>
        <w:pStyle w:val="ListParagraph"/>
        <w:numPr>
          <w:ilvl w:val="0"/>
          <w:numId w:val="2"/>
        </w:numPr>
        <w:spacing w:after="40" w:before="40" w:line="280"/>
      </w:pPr>
      <w:r>
        <w:rPr>
          <w:rFonts w:ascii="Calibri" w:cs="Calibri" w:eastAsia="Calibri" w:hAnsi="Calibri"/>
          <w:color w:val="2B2B2B"/>
          <w:sz w:val="22"/>
          <w:szCs w:val="22"/>
        </w:rPr>
        <w:t xml:space="preserve">Texas State Law Library — construction defects guide.  </w:t>
      </w:r>
      <w:hyperlink w:history="1" r:id="rIdnvrgbo_qdu3nrifao4usz">
        <w:r>
          <w:rPr>
            <w:rFonts w:ascii="Calibri" w:cs="Calibri" w:eastAsia="Calibri" w:hAnsi="Calibri"/>
            <w:color w:val="1F3A68"/>
            <w:sz w:val="22"/>
            <w:szCs w:val="22"/>
            <w:u w:val="single"/>
          </w:rPr>
          <w:t xml:space="preserve">guides.sll.texas.gov</w:t>
        </w:r>
      </w:hyperlink>
    </w:p>
    <w:p>
      <w:pPr>
        <w:pStyle w:val="ListParagraph"/>
        <w:numPr>
          <w:ilvl w:val="0"/>
          <w:numId w:val="2"/>
        </w:numPr>
        <w:spacing w:after="40" w:before="40" w:line="280"/>
      </w:pPr>
      <w:r>
        <w:rPr>
          <w:rFonts w:ascii="Calibri" w:cs="Calibri" w:eastAsia="Calibri" w:hAnsi="Calibri"/>
          <w:color w:val="2B2B2B"/>
          <w:sz w:val="22"/>
          <w:szCs w:val="22"/>
        </w:rPr>
        <w:t xml:space="preserve">Texas Real Estate Commission (TREC) — licenses inspectors.  </w:t>
      </w:r>
      <w:hyperlink w:history="1" r:id="rIdian1pyuag2ckzhjffrp3n">
        <w:r>
          <w:rPr>
            <w:rFonts w:ascii="Calibri" w:cs="Calibri" w:eastAsia="Calibri" w:hAnsi="Calibri"/>
            <w:color w:val="1F3A68"/>
            <w:sz w:val="22"/>
            <w:szCs w:val="22"/>
            <w:u w:val="single"/>
          </w:rPr>
          <w:t xml:space="preserve">trec.texas.gov</w:t>
        </w:r>
      </w:hyperlink>
    </w:p>
    <w:p>
      <w:pPr>
        <w:pStyle w:val="ListParagraph"/>
        <w:numPr>
          <w:ilvl w:val="0"/>
          <w:numId w:val="2"/>
        </w:numPr>
        <w:spacing w:after="40" w:before="40" w:line="280"/>
      </w:pPr>
      <w:r>
        <w:rPr>
          <w:rFonts w:ascii="Calibri" w:cs="Calibri" w:eastAsia="Calibri" w:hAnsi="Calibri"/>
          <w:color w:val="2B2B2B"/>
          <w:sz w:val="22"/>
          <w:szCs w:val="22"/>
        </w:rPr>
        <w:t xml:space="preserve">Texas Association of Builders.  </w:t>
      </w:r>
      <w:hyperlink w:history="1" r:id="rIdblreyaktgn9wykt2b61d4">
        <w:r>
          <w:rPr>
            <w:rFonts w:ascii="Calibri" w:cs="Calibri" w:eastAsia="Calibri" w:hAnsi="Calibri"/>
            <w:color w:val="1F3A68"/>
            <w:sz w:val="22"/>
            <w:szCs w:val="22"/>
            <w:u w:val="single"/>
          </w:rPr>
          <w:t xml:space="preserve">texasbuilders.org</w:t>
        </w:r>
      </w:hyperlink>
    </w:p>
    <w:p>
      <w:pPr>
        <w:pStyle w:val="ListParagraph"/>
        <w:numPr>
          <w:ilvl w:val="0"/>
          <w:numId w:val="2"/>
        </w:numPr>
        <w:spacing w:after="40" w:before="40" w:line="280"/>
      </w:pPr>
      <w:r>
        <w:rPr>
          <w:rFonts w:ascii="Calibri" w:cs="Calibri" w:eastAsia="Calibri" w:hAnsi="Calibri"/>
          <w:color w:val="2B2B2B"/>
          <w:sz w:val="22"/>
          <w:szCs w:val="22"/>
        </w:rPr>
        <w:t xml:space="preserve">Sunset Advisory Commission — TRCC abolition history.  </w:t>
      </w:r>
      <w:hyperlink w:history="1" r:id="rIdljprohzh7mmnjjcvsl8d9">
        <w:r>
          <w:rPr>
            <w:rFonts w:ascii="Calibri" w:cs="Calibri" w:eastAsia="Calibri" w:hAnsi="Calibri"/>
            <w:color w:val="1F3A68"/>
            <w:sz w:val="22"/>
            <w:szCs w:val="22"/>
            <w:u w:val="single"/>
          </w:rPr>
          <w:t xml:space="preserve">sunset.texas.gov TRCC</w:t>
        </w:r>
      </w:hyperlink>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14. Disclaimer</w:t>
      </w:r>
    </w:p>
    <w:p>
      <w:pPr>
        <w:spacing w:after="80" w:before="80" w:line="300"/>
        <w:jc w:val="left"/>
      </w:pPr>
      <w:r>
        <w:rPr>
          <w:rFonts w:ascii="Calibri" w:cs="Calibri" w:eastAsia="Calibri" w:hAnsi="Calibri"/>
          <w:b w:val="false"/>
          <w:bCs w:val="false"/>
          <w:i w:val="false"/>
          <w:iCs w:val="false"/>
          <w:color w:val="2B2B2B"/>
          <w:sz w:val="22"/>
          <w:szCs w:val="22"/>
        </w:rPr>
        <w:t xml:space="preserve">This document is general reference material. It is not legal advice. Reading this document does not create an attorney–client relationship. Texas law in this area was substantially amended in 2023 (HB 2022 and HB 2024), and the statutory county court jurisdictional limit changed effective September 1, 2025. The interaction between the RCLA and the DTPA is complex; whether mental-anguish damages and treble multipliers are available depends on the contractor's compliance with the RCLA process and the specific facts of the case. Before relying on any citation or procedure described here, the reader should verify it against current Texas authority and consult a licensed Texas attorney about the specific facts at issue.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8"/>
        <w:szCs w:val="18"/>
      </w:rPr>
      <w:t xml:space="preserve">Page </w:t>
    </w:r>
    <w:r>
      <w:rPr>
        <w:rFonts w:ascii="Calibri" w:cs="Calibri" w:eastAsia="Calibri" w:hAnsi="Calibri"/>
        <w:color w:val="555555"/>
        <w:sz w:val="18"/>
        <w:szCs w:val="18"/>
      </w:rPr>
      <w:fldChar w:fldCharType="begin"/>
      <w:instrText xml:space="preserve">PAGE</w:instrText>
      <w:fldChar w:fldCharType="separate"/>
      <w:fldChar w:fldCharType="end"/>
    </w:r>
    <w:r>
      <w:rPr>
        <w:rFonts w:ascii="Calibri" w:cs="Calibri" w:eastAsia="Calibri" w:hAnsi="Calibri"/>
        <w:color w:val="555555"/>
        <w:sz w:val="18"/>
        <w:szCs w:val="18"/>
      </w:rPr>
      <w:t xml:space="preserve"> — General reference,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55555"/>
        <w:sz w:val="18"/>
        <w:szCs w:val="18"/>
      </w:rPr>
      <w:t xml:space="preserve">Texas New Home Construction Warranty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B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2B2B2B"/>
      <w:sz w:val="36"/>
      <w:szCs w:val="36"/>
    </w:rPr>
  </w:style>
  <w:style w:type="paragraph" w:styleId="Heading2">
    <w:name w:val="Heading 2"/>
    <w:basedOn w:val="Normal"/>
    <w:next w:val="Normal"/>
    <w:qFormat/>
    <w:pPr>
      <w:spacing w:after="120" w:before="260"/>
      <w:outlineLvl w:val="1"/>
    </w:pPr>
    <w:rPr>
      <w:rFonts w:ascii="Calibri" w:cs="Calibri" w:eastAsia="Calibri" w:hAnsi="Calibri"/>
      <w:b/>
      <w:bCs/>
      <w:color w:val="2B2B2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pznhowhrptakcxyrnbyix" Type="http://schemas.openxmlformats.org/officeDocument/2006/relationships/hyperlink" Target="https://www.tdlr.texas.gov/" TargetMode="External"/><Relationship Id="rIdywky_fn3vz8f-we1mm-lw" Type="http://schemas.openxmlformats.org/officeDocument/2006/relationships/hyperlink" Target="https://tsbpe.texas.gov/" TargetMode="External"/><Relationship Id="rIdiwbxjctinq1ly82esoj5r" Type="http://schemas.openxmlformats.org/officeDocument/2006/relationships/hyperlink" Target="https://www.texasattorneygeneral.gov/consumer-protection" TargetMode="External"/><Relationship Id="rIdsa7f_daqxpluxzlsykhjs" Type="http://schemas.openxmlformats.org/officeDocument/2006/relationships/hyperlink" Target="https://www.texasbuilders.org/" TargetMode="External"/><Relationship Id="rIdhdvgimzg8uvfa94pjn-2h" Type="http://schemas.openxmlformats.org/officeDocument/2006/relationships/hyperlink" Target="https://www.bbb.org/" TargetMode="External"/><Relationship Id="rIdaii0uaesgmnpgi5htmqk5" Type="http://schemas.openxmlformats.org/officeDocument/2006/relationships/hyperlink" Target="https://statutes.capitol.texas.gov/Docs/PR/htm/PR.27.htm" TargetMode="External"/><Relationship Id="rId5sfmbm8svlhircvwj_tts" Type="http://schemas.openxmlformats.org/officeDocument/2006/relationships/hyperlink" Target="https://statutes.capitol.texas.gov/Docs/BC/htm/BC.17.htm" TargetMode="External"/><Relationship Id="rIdymatrqs_clthtopuw5blc" Type="http://schemas.openxmlformats.org/officeDocument/2006/relationships/hyperlink" Target="https://statutes.capitol.texas.gov/Docs/CP/htm/CP.15.htm" TargetMode="External"/><Relationship Id="rId6k7rh2hmvehf7pjau4tbm" Type="http://schemas.openxmlformats.org/officeDocument/2006/relationships/hyperlink" Target="https://statutes.capitol.texas.gov/Docs/CP/htm/CP.16.htm" TargetMode="External"/><Relationship Id="rIdgvy-8mrxsahi2phan4cja" Type="http://schemas.openxmlformats.org/officeDocument/2006/relationships/hyperlink" Target="https://law.justia.com/codes/texas/civil-practice-and-remedies-code/title-2/subtitle-b/chapter-16/subchapter-a/section-16-009/" TargetMode="External"/><Relationship Id="rIdhf1hm-ur7akfrb3ipxfpq" Type="http://schemas.openxmlformats.org/officeDocument/2006/relationships/hyperlink" Target="https://statutes.capitol.texas.gov/Docs/CP/htm/CP.38.htm" TargetMode="External"/><Relationship Id="rIdchxfcfhm9tp8_c6mdnfou" Type="http://schemas.openxmlformats.org/officeDocument/2006/relationships/hyperlink" Target="https://statutes.capitol.texas.gov/Docs/CP/htm/CP.41.htm" TargetMode="External"/><Relationship Id="rIdhsf3aoxhpbbswqvsolxf5" Type="http://schemas.openxmlformats.org/officeDocument/2006/relationships/hyperlink" Target="https://statutes.capitol.texas.gov/Docs/GV/htm/GV.27.htm" TargetMode="External"/><Relationship Id="rIdkz-7hatlr6zwebym7aofm" Type="http://schemas.openxmlformats.org/officeDocument/2006/relationships/hyperlink" Target="https://statutes.capitol.texas.gov/Docs/GV/htm/GV.25.htm" TargetMode="External"/><Relationship Id="rIdwcnturbfid9stds9rrx33" Type="http://schemas.openxmlformats.org/officeDocument/2006/relationships/hyperlink" Target="https://capitol.texas.gov/tlodocs/88R/analysis/html/HB02022E.htm" TargetMode="External"/><Relationship Id="rIdd_zokxek-cpwc3bxl3ulg" Type="http://schemas.openxmlformats.org/officeDocument/2006/relationships/hyperlink" Target="https://capitol.texas.gov/tlodocs/88R/analysis/html/HB02024E.htm" TargetMode="External"/><Relationship Id="rIdhvt_zi_jer8qbwyl9d7ej" Type="http://schemas.openxmlformats.org/officeDocument/2006/relationships/hyperlink" Target="https://law.justia.com/cases/texas/supreme-court/1968/b-352-0.html" TargetMode="External"/><Relationship Id="rId9uvzmcryzhdb1_xjaby4t" Type="http://schemas.openxmlformats.org/officeDocument/2006/relationships/hyperlink" Target="https://law.justia.com/cases/texas/supreme-court/1983/c-1363-0.html" TargetMode="External"/><Relationship Id="rIdwsh0ut5bde-vnphmkz2ks" Type="http://schemas.openxmlformats.org/officeDocument/2006/relationships/hyperlink" Target="https://law.justia.com/cases/texas/supreme-court/1987/c-5508-0.html" TargetMode="External"/><Relationship Id="rIdupx06pj5t_ibi7sunxfzs" Type="http://schemas.openxmlformats.org/officeDocument/2006/relationships/hyperlink" Target="https://caselaw.findlaw.com/court/tx-supreme-court/1258125.html" TargetMode="External"/><Relationship Id="rIdoqxep-pmuizmm57xt9pks" Type="http://schemas.openxmlformats.org/officeDocument/2006/relationships/hyperlink" Target="https://www.tdlr.texas.gov/" TargetMode="External"/><Relationship Id="rIdxtetzodcyybntoznunize" Type="http://schemas.openxmlformats.org/officeDocument/2006/relationships/hyperlink" Target="https://tsbpe.texas.gov/" TargetMode="External"/><Relationship Id="rIdzvkchti75_om6cnbty3ra" Type="http://schemas.openxmlformats.org/officeDocument/2006/relationships/hyperlink" Target="https://www.texasattorneygeneral.gov/consumer-protection" TargetMode="External"/><Relationship Id="rIdnvrgbo_qdu3nrifao4usz" Type="http://schemas.openxmlformats.org/officeDocument/2006/relationships/hyperlink" Target="https://guides.sll.texas.gov/consumer-protection/construction-defects" TargetMode="External"/><Relationship Id="rIdian1pyuag2ckzhjffrp3n" Type="http://schemas.openxmlformats.org/officeDocument/2006/relationships/hyperlink" Target="https://www.trec.texas.gov/" TargetMode="External"/><Relationship Id="rIdblreyaktgn9wykt2b61d4" Type="http://schemas.openxmlformats.org/officeDocument/2006/relationships/hyperlink" Target="https://www.texasbuilders.org/" TargetMode="External"/><Relationship Id="rIdljprohzh7mmnjjcvsl8d9" Type="http://schemas.openxmlformats.org/officeDocument/2006/relationships/hyperlink" Target="https://www.sunset.texas.gov/reviews-and-reports/agencies/texas-residential-construction-commission" TargetMode="External"/><Relationship Id="rId36"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New Home Construction Warranty Reference</dc:title>
  <dc:creator>New Build Warranty Reference</dc:creator>
  <cp:lastModifiedBy>Un-named</cp:lastModifiedBy>
  <cp:revision>1</cp:revision>
  <dcterms:created xsi:type="dcterms:W3CDTF">2026-05-22T02:21:31.015Z</dcterms:created>
  <dcterms:modified xsi:type="dcterms:W3CDTF">2026-05-22T02:21:31.015Z</dcterms:modified>
</cp:coreProperties>
</file>

<file path=docProps/custom.xml><?xml version="1.0" encoding="utf-8"?>
<Properties xmlns="http://schemas.openxmlformats.org/officeDocument/2006/custom-properties" xmlns:vt="http://schemas.openxmlformats.org/officeDocument/2006/docPropsVTypes"/>
</file>